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0E" w:rsidRDefault="00B76FBC" w:rsidP="00A07D0E">
      <w:pPr>
        <w:spacing w:line="240" w:lineRule="auto"/>
        <w:rPr>
          <w:rFonts w:cs="Arial"/>
          <w:sz w:val="22"/>
          <w:szCs w:val="22"/>
        </w:rPr>
      </w:pPr>
      <w:r>
        <w:rPr>
          <w:noProof/>
          <w:lang w:eastAsia="es-ES"/>
        </w:rPr>
        <w:drawing>
          <wp:anchor distT="0" distB="0" distL="114300" distR="114300" simplePos="0" relativeHeight="251659264" behindDoc="0" locked="0" layoutInCell="1" allowOverlap="1" wp14:anchorId="7B64B454" wp14:editId="61670309">
            <wp:simplePos x="0" y="0"/>
            <wp:positionH relativeFrom="column">
              <wp:posOffset>-1905</wp:posOffset>
            </wp:positionH>
            <wp:positionV relativeFrom="paragraph">
              <wp:posOffset>119380</wp:posOffset>
            </wp:positionV>
            <wp:extent cx="2239010" cy="600710"/>
            <wp:effectExtent l="19050" t="0" r="8890" b="0"/>
            <wp:wrapTopAndBottom/>
            <wp:docPr id="2" name="Imagen 13" descr="Logo SGCAN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SGCAN 2008"/>
                    <pic:cNvPicPr>
                      <a:picLocks noChangeAspect="1" noChangeArrowheads="1"/>
                    </pic:cNvPicPr>
                  </pic:nvPicPr>
                  <pic:blipFill>
                    <a:blip r:embed="rId9" cstate="print"/>
                    <a:srcRect/>
                    <a:stretch>
                      <a:fillRect/>
                    </a:stretch>
                  </pic:blipFill>
                  <pic:spPr bwMode="auto">
                    <a:xfrm>
                      <a:off x="0" y="0"/>
                      <a:ext cx="2239010" cy="600710"/>
                    </a:xfrm>
                    <a:prstGeom prst="rect">
                      <a:avLst/>
                    </a:prstGeom>
                    <a:noFill/>
                  </pic:spPr>
                </pic:pic>
              </a:graphicData>
            </a:graphic>
          </wp:anchor>
        </w:drawing>
      </w:r>
    </w:p>
    <w:p w:rsidR="00A07D0E" w:rsidRDefault="00A07D0E" w:rsidP="00A07D0E">
      <w:pPr>
        <w:spacing w:line="240" w:lineRule="auto"/>
        <w:rPr>
          <w:rFonts w:cs="Arial"/>
          <w:sz w:val="22"/>
          <w:szCs w:val="22"/>
        </w:rPr>
      </w:pPr>
    </w:p>
    <w:p w:rsidR="007B3BF9" w:rsidRDefault="007B3BF9" w:rsidP="00A07D0E">
      <w:pPr>
        <w:widowControl/>
        <w:spacing w:line="240" w:lineRule="auto"/>
        <w:jc w:val="center"/>
        <w:rPr>
          <w:rFonts w:cs="Arial"/>
          <w:b/>
          <w:sz w:val="22"/>
          <w:szCs w:val="22"/>
          <w:u w:val="single"/>
        </w:rPr>
      </w:pPr>
    </w:p>
    <w:p w:rsidR="00A07D0E" w:rsidRPr="00B70319" w:rsidRDefault="00A07D0E" w:rsidP="00A07D0E">
      <w:pPr>
        <w:widowControl/>
        <w:spacing w:line="240" w:lineRule="auto"/>
        <w:jc w:val="center"/>
        <w:rPr>
          <w:rFonts w:cs="Arial"/>
          <w:b/>
          <w:sz w:val="22"/>
          <w:szCs w:val="22"/>
          <w:u w:val="single"/>
        </w:rPr>
      </w:pPr>
      <w:r w:rsidRPr="00B70319">
        <w:rPr>
          <w:rFonts w:cs="Arial"/>
          <w:b/>
          <w:sz w:val="22"/>
          <w:szCs w:val="22"/>
          <w:u w:val="single"/>
        </w:rPr>
        <w:t>DICTAMEN Nº 00</w:t>
      </w:r>
      <w:r w:rsidR="00A86FA5" w:rsidRPr="00B70319">
        <w:rPr>
          <w:rFonts w:cs="Arial"/>
          <w:b/>
          <w:sz w:val="22"/>
          <w:szCs w:val="22"/>
          <w:u w:val="single"/>
        </w:rPr>
        <w:t>1</w:t>
      </w:r>
      <w:r w:rsidRPr="00B70319">
        <w:rPr>
          <w:rFonts w:cs="Arial"/>
          <w:b/>
          <w:sz w:val="22"/>
          <w:szCs w:val="22"/>
          <w:u w:val="single"/>
        </w:rPr>
        <w:t xml:space="preserve"> - 201</w:t>
      </w:r>
      <w:r w:rsidR="00A86FA5" w:rsidRPr="00B70319">
        <w:rPr>
          <w:rFonts w:cs="Arial"/>
          <w:b/>
          <w:sz w:val="22"/>
          <w:szCs w:val="22"/>
          <w:u w:val="single"/>
        </w:rPr>
        <w:t>5</w:t>
      </w:r>
    </w:p>
    <w:p w:rsidR="001351CE" w:rsidRPr="00A808D5" w:rsidRDefault="001351CE" w:rsidP="002D25F3">
      <w:pPr>
        <w:spacing w:line="240" w:lineRule="auto"/>
        <w:jc w:val="center"/>
        <w:rPr>
          <w:rFonts w:cs="Arial"/>
          <w:b/>
          <w:sz w:val="22"/>
          <w:szCs w:val="22"/>
          <w:shd w:val="clear" w:color="auto" w:fill="FFFFFF"/>
        </w:rPr>
      </w:pPr>
      <w:bookmarkStart w:id="0" w:name="OLE_LINK1"/>
      <w:bookmarkStart w:id="1" w:name="OLE_LINK2"/>
      <w:bookmarkStart w:id="2" w:name="OLE_LINK5"/>
    </w:p>
    <w:bookmarkEnd w:id="0"/>
    <w:bookmarkEnd w:id="1"/>
    <w:bookmarkEnd w:id="2"/>
    <w:p w:rsidR="000E7B1C" w:rsidRPr="00A808D5" w:rsidRDefault="000E7B1C" w:rsidP="002D25F3">
      <w:pPr>
        <w:spacing w:line="240" w:lineRule="auto"/>
        <w:jc w:val="center"/>
        <w:rPr>
          <w:rFonts w:cs="Arial"/>
          <w:b/>
          <w:sz w:val="22"/>
          <w:szCs w:val="22"/>
          <w:shd w:val="clear" w:color="auto" w:fill="FFFFFF"/>
        </w:rPr>
      </w:pPr>
      <w:r w:rsidRPr="00A808D5">
        <w:rPr>
          <w:rFonts w:cs="Arial"/>
          <w:b/>
          <w:sz w:val="22"/>
          <w:szCs w:val="22"/>
          <w:shd w:val="clear" w:color="auto" w:fill="FFFFFF"/>
        </w:rPr>
        <w:t>DE LA SECRETARÍA GENERAL DE LA COMUNIDAD ANDINA</w:t>
      </w:r>
    </w:p>
    <w:p w:rsidR="005E2AFB" w:rsidRDefault="005E2AFB" w:rsidP="002D25F3">
      <w:pPr>
        <w:spacing w:line="240" w:lineRule="auto"/>
        <w:rPr>
          <w:rFonts w:cs="Arial"/>
          <w:sz w:val="22"/>
          <w:szCs w:val="22"/>
          <w:shd w:val="clear" w:color="auto" w:fill="FFFFFF"/>
        </w:rPr>
      </w:pPr>
    </w:p>
    <w:p w:rsidR="00A86FA5" w:rsidRPr="00C95617" w:rsidRDefault="00687EEE" w:rsidP="00A86FA5">
      <w:pPr>
        <w:pStyle w:val="Prrafodelista"/>
        <w:widowControl/>
        <w:adjustRightInd/>
        <w:spacing w:line="240" w:lineRule="auto"/>
        <w:ind w:left="-12"/>
        <w:textAlignment w:val="auto"/>
        <w:rPr>
          <w:rFonts w:cs="Arial"/>
          <w:sz w:val="22"/>
          <w:szCs w:val="22"/>
        </w:rPr>
      </w:pPr>
      <w:r w:rsidRPr="00A808D5">
        <w:rPr>
          <w:rFonts w:cs="Arial"/>
          <w:sz w:val="22"/>
          <w:szCs w:val="22"/>
          <w:shd w:val="clear" w:color="auto" w:fill="FFFFFF"/>
        </w:rPr>
        <w:t>Emitido c</w:t>
      </w:r>
      <w:r w:rsidR="000E7B1C" w:rsidRPr="00A808D5">
        <w:rPr>
          <w:rFonts w:cs="Arial"/>
          <w:sz w:val="22"/>
          <w:szCs w:val="22"/>
          <w:shd w:val="clear" w:color="auto" w:fill="FFFFFF"/>
        </w:rPr>
        <w:t>onforme al Artículo 2</w:t>
      </w:r>
      <w:r w:rsidRPr="00A808D5">
        <w:rPr>
          <w:rFonts w:cs="Arial"/>
          <w:sz w:val="22"/>
          <w:szCs w:val="22"/>
          <w:shd w:val="clear" w:color="auto" w:fill="FFFFFF"/>
        </w:rPr>
        <w:t>3</w:t>
      </w:r>
      <w:r w:rsidR="000E7B1C" w:rsidRPr="00A808D5">
        <w:rPr>
          <w:rFonts w:cs="Arial"/>
          <w:sz w:val="22"/>
          <w:szCs w:val="22"/>
          <w:shd w:val="clear" w:color="auto" w:fill="FFFFFF"/>
        </w:rPr>
        <w:t xml:space="preserve"> del Tratado de Cr</w:t>
      </w:r>
      <w:r w:rsidR="00F46D99" w:rsidRPr="00A808D5">
        <w:rPr>
          <w:rFonts w:cs="Arial"/>
          <w:sz w:val="22"/>
          <w:szCs w:val="22"/>
          <w:shd w:val="clear" w:color="auto" w:fill="FFFFFF"/>
        </w:rPr>
        <w:t>eación del Tribunal de Justicia</w:t>
      </w:r>
      <w:r w:rsidR="00682099" w:rsidRPr="00A808D5">
        <w:rPr>
          <w:rFonts w:cs="Arial"/>
          <w:sz w:val="22"/>
          <w:szCs w:val="22"/>
          <w:shd w:val="clear" w:color="auto" w:fill="FFFFFF"/>
        </w:rPr>
        <w:t xml:space="preserve"> </w:t>
      </w:r>
      <w:r w:rsidR="00F46D99" w:rsidRPr="00A808D5">
        <w:rPr>
          <w:rFonts w:cs="Arial"/>
          <w:sz w:val="22"/>
          <w:szCs w:val="22"/>
          <w:shd w:val="clear" w:color="auto" w:fill="FFFFFF"/>
        </w:rPr>
        <w:t>d</w:t>
      </w:r>
      <w:r w:rsidR="000E7B1C" w:rsidRPr="00A808D5">
        <w:rPr>
          <w:rFonts w:cs="Arial"/>
          <w:sz w:val="22"/>
          <w:szCs w:val="22"/>
          <w:shd w:val="clear" w:color="auto" w:fill="FFFFFF"/>
        </w:rPr>
        <w:t>e la Comunidad Andina</w:t>
      </w:r>
      <w:r w:rsidRPr="00A808D5">
        <w:rPr>
          <w:rFonts w:cs="Arial"/>
          <w:sz w:val="22"/>
          <w:szCs w:val="22"/>
          <w:shd w:val="clear" w:color="auto" w:fill="FFFFFF"/>
        </w:rPr>
        <w:t xml:space="preserve">, </w:t>
      </w:r>
      <w:r w:rsidR="00A86FA5" w:rsidRPr="00C95617">
        <w:rPr>
          <w:rFonts w:cs="Arial"/>
          <w:sz w:val="22"/>
          <w:szCs w:val="22"/>
        </w:rPr>
        <w:t xml:space="preserve">supuesto incumplimiento de las Resoluciones 1647 y 1671 de la SGCAN por parte de la Unidad Administrativa Especial Dirección de Impuestos y Aduanas Nacionales (DIAN) de la República de Colombia, al exigir el pago de aranceles de 15% por la importación de cebolla fresca apta para el consumo humano. </w:t>
      </w:r>
    </w:p>
    <w:p w:rsidR="00687EEE" w:rsidRPr="00A808D5" w:rsidRDefault="00687EEE" w:rsidP="00B70319">
      <w:pPr>
        <w:spacing w:line="240" w:lineRule="auto"/>
        <w:rPr>
          <w:rFonts w:cs="Arial"/>
          <w:sz w:val="22"/>
          <w:szCs w:val="22"/>
          <w:shd w:val="clear" w:color="auto" w:fill="FFFFFF"/>
        </w:rPr>
      </w:pPr>
    </w:p>
    <w:p w:rsidR="000E7B1C" w:rsidRPr="00A808D5" w:rsidRDefault="000E7B1C" w:rsidP="002D25F3">
      <w:pPr>
        <w:spacing w:line="240" w:lineRule="auto"/>
        <w:jc w:val="right"/>
        <w:rPr>
          <w:rFonts w:cs="Arial"/>
          <w:sz w:val="22"/>
          <w:szCs w:val="22"/>
          <w:shd w:val="clear" w:color="auto" w:fill="FFFFFF"/>
        </w:rPr>
      </w:pPr>
      <w:r w:rsidRPr="00A808D5">
        <w:rPr>
          <w:rFonts w:cs="Arial"/>
          <w:sz w:val="22"/>
          <w:szCs w:val="22"/>
          <w:shd w:val="clear" w:color="auto" w:fill="FFFFFF"/>
        </w:rPr>
        <w:t xml:space="preserve">Lima, </w:t>
      </w:r>
      <w:r w:rsidR="00A86FA5">
        <w:rPr>
          <w:rFonts w:cs="Arial"/>
          <w:sz w:val="22"/>
          <w:szCs w:val="22"/>
          <w:shd w:val="clear" w:color="auto" w:fill="FFFFFF"/>
        </w:rPr>
        <w:t>13</w:t>
      </w:r>
      <w:r w:rsidR="003B1A4F" w:rsidRPr="00A808D5">
        <w:rPr>
          <w:rFonts w:cs="Arial"/>
          <w:sz w:val="22"/>
          <w:szCs w:val="22"/>
          <w:shd w:val="clear" w:color="auto" w:fill="FFFFFF"/>
        </w:rPr>
        <w:t xml:space="preserve"> </w:t>
      </w:r>
      <w:r w:rsidRPr="00A808D5">
        <w:rPr>
          <w:rFonts w:cs="Arial"/>
          <w:sz w:val="22"/>
          <w:szCs w:val="22"/>
          <w:shd w:val="clear" w:color="auto" w:fill="FFFFFF"/>
        </w:rPr>
        <w:t xml:space="preserve">de </w:t>
      </w:r>
      <w:r w:rsidR="00A86FA5">
        <w:rPr>
          <w:rFonts w:cs="Arial"/>
          <w:sz w:val="22"/>
          <w:szCs w:val="22"/>
          <w:shd w:val="clear" w:color="auto" w:fill="FFFFFF"/>
        </w:rPr>
        <w:t xml:space="preserve">febrero </w:t>
      </w:r>
      <w:r w:rsidRPr="00A808D5">
        <w:rPr>
          <w:rFonts w:cs="Arial"/>
          <w:sz w:val="22"/>
          <w:szCs w:val="22"/>
          <w:shd w:val="clear" w:color="auto" w:fill="FFFFFF"/>
        </w:rPr>
        <w:t>de 201</w:t>
      </w:r>
      <w:r w:rsidR="00A86FA5">
        <w:rPr>
          <w:rFonts w:cs="Arial"/>
          <w:sz w:val="22"/>
          <w:szCs w:val="22"/>
          <w:shd w:val="clear" w:color="auto" w:fill="FFFFFF"/>
        </w:rPr>
        <w:t>5</w:t>
      </w:r>
    </w:p>
    <w:p w:rsidR="000E7B1C" w:rsidRDefault="000E7B1C" w:rsidP="002D25F3">
      <w:pPr>
        <w:widowControl/>
        <w:spacing w:line="240" w:lineRule="auto"/>
        <w:rPr>
          <w:rFonts w:cs="Arial"/>
          <w:sz w:val="22"/>
          <w:szCs w:val="22"/>
        </w:rPr>
      </w:pPr>
    </w:p>
    <w:p w:rsidR="00B870B5" w:rsidRPr="00A808D5" w:rsidRDefault="00B870B5" w:rsidP="002D25F3">
      <w:pPr>
        <w:spacing w:line="240" w:lineRule="auto"/>
        <w:rPr>
          <w:rFonts w:cs="Arial"/>
          <w:sz w:val="22"/>
          <w:szCs w:val="22"/>
        </w:rPr>
      </w:pPr>
      <w:r w:rsidRPr="00A808D5">
        <w:rPr>
          <w:rFonts w:cs="Arial"/>
          <w:sz w:val="22"/>
          <w:szCs w:val="22"/>
        </w:rPr>
        <w:t>El artículo 9 de la Decisión 623 dispone el contenido de los Dictámenes que debe proferir la Secretaría General en los procedimientos sobre eventuales incumplimientos que lleve adelante.</w:t>
      </w:r>
    </w:p>
    <w:p w:rsidR="00B870B5" w:rsidRPr="00A808D5" w:rsidRDefault="00B870B5" w:rsidP="002D25F3">
      <w:pPr>
        <w:spacing w:line="240" w:lineRule="auto"/>
        <w:rPr>
          <w:rFonts w:cs="Arial"/>
          <w:sz w:val="22"/>
          <w:szCs w:val="22"/>
        </w:rPr>
      </w:pPr>
    </w:p>
    <w:p w:rsidR="00B870B5" w:rsidRPr="00A808D5" w:rsidRDefault="00B870B5" w:rsidP="002D25F3">
      <w:pPr>
        <w:spacing w:line="240" w:lineRule="auto"/>
        <w:rPr>
          <w:rFonts w:cs="Arial"/>
          <w:sz w:val="22"/>
          <w:szCs w:val="22"/>
        </w:rPr>
      </w:pPr>
      <w:r w:rsidRPr="00A808D5">
        <w:rPr>
          <w:rFonts w:cs="Arial"/>
          <w:sz w:val="22"/>
          <w:szCs w:val="22"/>
        </w:rPr>
        <w:t>Se presenta a continuación el Dictamen de la Secretaría General para el presente caso, conforme a la estructura determinada por el señalado artículo.</w:t>
      </w:r>
    </w:p>
    <w:p w:rsidR="00687EEE" w:rsidRPr="00A808D5" w:rsidRDefault="00687EEE" w:rsidP="002D25F3">
      <w:pPr>
        <w:widowControl/>
        <w:spacing w:line="240" w:lineRule="auto"/>
        <w:rPr>
          <w:rFonts w:cs="Arial"/>
          <w:sz w:val="22"/>
          <w:szCs w:val="22"/>
        </w:rPr>
      </w:pPr>
    </w:p>
    <w:p w:rsidR="00A86FA5" w:rsidRPr="00C95617" w:rsidRDefault="00A86FA5" w:rsidP="00A86FA5">
      <w:pPr>
        <w:pStyle w:val="Prrafodelista"/>
        <w:widowControl/>
        <w:numPr>
          <w:ilvl w:val="0"/>
          <w:numId w:val="18"/>
        </w:numPr>
        <w:adjustRightInd/>
        <w:spacing w:line="240" w:lineRule="auto"/>
        <w:jc w:val="left"/>
        <w:textAlignment w:val="auto"/>
        <w:rPr>
          <w:rFonts w:cs="Arial"/>
          <w:b/>
          <w:sz w:val="22"/>
          <w:szCs w:val="22"/>
        </w:rPr>
      </w:pPr>
      <w:r w:rsidRPr="00C95617">
        <w:rPr>
          <w:rFonts w:cs="Arial"/>
          <w:b/>
          <w:sz w:val="22"/>
          <w:szCs w:val="22"/>
        </w:rPr>
        <w:t>Sumilla.-</w:t>
      </w:r>
    </w:p>
    <w:p w:rsidR="00A86FA5" w:rsidRPr="00C95617" w:rsidRDefault="00A86FA5" w:rsidP="00A86FA5">
      <w:pPr>
        <w:pStyle w:val="Prrafodelista"/>
        <w:spacing w:line="240" w:lineRule="auto"/>
        <w:ind w:left="1080"/>
        <w:rPr>
          <w:rFonts w:cs="Arial"/>
          <w:b/>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C95617">
        <w:rPr>
          <w:rFonts w:cs="Arial"/>
          <w:sz w:val="22"/>
          <w:szCs w:val="22"/>
        </w:rPr>
        <w:t xml:space="preserve">Las empresas </w:t>
      </w:r>
      <w:proofErr w:type="spellStart"/>
      <w:r w:rsidRPr="00C95617">
        <w:rPr>
          <w:rFonts w:cs="Arial"/>
          <w:color w:val="000000"/>
          <w:sz w:val="22"/>
          <w:szCs w:val="22"/>
          <w:lang w:eastAsia="es-ES"/>
        </w:rPr>
        <w:t>Coagromar</w:t>
      </w:r>
      <w:proofErr w:type="spellEnd"/>
      <w:r w:rsidRPr="00C95617">
        <w:rPr>
          <w:rFonts w:cs="Arial"/>
          <w:color w:val="000000"/>
          <w:sz w:val="22"/>
          <w:szCs w:val="22"/>
          <w:lang w:eastAsia="es-ES"/>
        </w:rPr>
        <w:t xml:space="preserve"> S.A., </w:t>
      </w:r>
      <w:proofErr w:type="spellStart"/>
      <w:r w:rsidRPr="00C95617">
        <w:rPr>
          <w:rFonts w:cs="Arial"/>
          <w:color w:val="000000"/>
          <w:sz w:val="22"/>
          <w:szCs w:val="22"/>
          <w:lang w:eastAsia="es-ES"/>
        </w:rPr>
        <w:t>Incolagro</w:t>
      </w:r>
      <w:proofErr w:type="spellEnd"/>
      <w:r w:rsidRPr="00C95617">
        <w:rPr>
          <w:rFonts w:cs="Arial"/>
          <w:color w:val="000000"/>
          <w:sz w:val="22"/>
          <w:szCs w:val="22"/>
          <w:lang w:eastAsia="es-ES"/>
        </w:rPr>
        <w:t xml:space="preserve"> E.U., </w:t>
      </w:r>
      <w:proofErr w:type="spellStart"/>
      <w:r w:rsidRPr="00C95617">
        <w:rPr>
          <w:rFonts w:cs="Arial"/>
          <w:color w:val="000000"/>
          <w:sz w:val="22"/>
          <w:szCs w:val="22"/>
          <w:lang w:eastAsia="es-ES"/>
        </w:rPr>
        <w:t>Gedecomex</w:t>
      </w:r>
      <w:proofErr w:type="spellEnd"/>
      <w:r w:rsidRPr="00C95617">
        <w:rPr>
          <w:rFonts w:cs="Arial"/>
          <w:color w:val="000000"/>
          <w:sz w:val="22"/>
          <w:szCs w:val="22"/>
          <w:lang w:eastAsia="es-ES"/>
        </w:rPr>
        <w:t xml:space="preserve"> S.A.S., </w:t>
      </w:r>
      <w:proofErr w:type="spellStart"/>
      <w:r w:rsidRPr="00C95617">
        <w:rPr>
          <w:rFonts w:cs="Arial"/>
          <w:color w:val="000000"/>
          <w:sz w:val="22"/>
          <w:szCs w:val="22"/>
          <w:lang w:eastAsia="es-ES"/>
        </w:rPr>
        <w:t>Comexsur</w:t>
      </w:r>
      <w:proofErr w:type="spellEnd"/>
      <w:r w:rsidRPr="00C95617">
        <w:rPr>
          <w:rFonts w:cs="Arial"/>
          <w:color w:val="000000"/>
          <w:sz w:val="22"/>
          <w:szCs w:val="22"/>
          <w:lang w:eastAsia="es-ES"/>
        </w:rPr>
        <w:t xml:space="preserve"> S.A.S. y Carlos Alberto </w:t>
      </w:r>
      <w:proofErr w:type="spellStart"/>
      <w:r w:rsidRPr="00C95617">
        <w:rPr>
          <w:rFonts w:cs="Arial"/>
          <w:color w:val="000000"/>
          <w:sz w:val="22"/>
          <w:szCs w:val="22"/>
          <w:lang w:eastAsia="es-ES"/>
        </w:rPr>
        <w:t>Arciniegas</w:t>
      </w:r>
      <w:proofErr w:type="spellEnd"/>
      <w:r w:rsidRPr="00C95617">
        <w:rPr>
          <w:rFonts w:cs="Arial"/>
          <w:sz w:val="22"/>
          <w:szCs w:val="22"/>
        </w:rPr>
        <w:t>, tienen como objeto social efectuar operaciones de comercio  exterior, propiamente importaciones y exportaciones de productos agrícolas.</w:t>
      </w:r>
    </w:p>
    <w:p w:rsidR="00A86FA5" w:rsidRPr="00C95617" w:rsidRDefault="00A86FA5" w:rsidP="00A86FA5">
      <w:pPr>
        <w:pStyle w:val="Prrafodelista"/>
        <w:spacing w:line="240" w:lineRule="auto"/>
        <w:rPr>
          <w:rFonts w:cs="Arial"/>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C95617">
        <w:rPr>
          <w:rFonts w:cs="Arial"/>
          <w:sz w:val="22"/>
          <w:szCs w:val="22"/>
        </w:rPr>
        <w:t xml:space="preserve">Con fecha 14 de octubre de 2014, presentan ante la Secretaría General de la Comunidad Andina, un reclamo por supuesto incumplimiento de las Resoluciones 1647 y 1671 de la SGCAN por parte de la Unidad Administrativa Especial Dirección de Impuestos y Aduanas Nacionales (DIAN) de la República de Colombia, al exigir el pago de aranceles de 15% por la importación de cebolla fresca apta para el consumo humano. </w:t>
      </w:r>
    </w:p>
    <w:p w:rsidR="00A86FA5" w:rsidRPr="00C95617" w:rsidRDefault="00A86FA5" w:rsidP="00A86FA5">
      <w:pPr>
        <w:pStyle w:val="Prrafodelista"/>
        <w:spacing w:line="240" w:lineRule="auto"/>
        <w:rPr>
          <w:rFonts w:cs="Arial"/>
          <w:b/>
          <w:sz w:val="22"/>
          <w:szCs w:val="22"/>
        </w:rPr>
      </w:pPr>
    </w:p>
    <w:p w:rsidR="00A86FA5" w:rsidRDefault="00A86FA5" w:rsidP="00A86FA5">
      <w:pPr>
        <w:pStyle w:val="Prrafodelista"/>
        <w:widowControl/>
        <w:numPr>
          <w:ilvl w:val="0"/>
          <w:numId w:val="18"/>
        </w:numPr>
        <w:adjustRightInd/>
        <w:spacing w:line="240" w:lineRule="auto"/>
        <w:jc w:val="left"/>
        <w:rPr>
          <w:rFonts w:cs="Arial"/>
          <w:b/>
          <w:bCs/>
          <w:color w:val="000000"/>
        </w:rPr>
      </w:pPr>
      <w:r w:rsidRPr="00C95617">
        <w:rPr>
          <w:rFonts w:cs="Arial"/>
          <w:b/>
          <w:bCs/>
          <w:color w:val="000000"/>
          <w:sz w:val="22"/>
          <w:szCs w:val="22"/>
        </w:rPr>
        <w:t>Análisis.-</w:t>
      </w:r>
    </w:p>
    <w:p w:rsidR="00A86FA5" w:rsidRPr="00C95617" w:rsidRDefault="00A86FA5" w:rsidP="00A86FA5">
      <w:pPr>
        <w:pStyle w:val="Prrafodelista"/>
        <w:spacing w:line="240" w:lineRule="auto"/>
        <w:ind w:left="1080"/>
        <w:rPr>
          <w:rFonts w:cs="Arial"/>
          <w:b/>
          <w:bCs/>
          <w:color w:val="000000"/>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C95617">
        <w:rPr>
          <w:rFonts w:cs="Arial"/>
          <w:color w:val="000000"/>
          <w:sz w:val="22"/>
          <w:szCs w:val="22"/>
        </w:rPr>
        <w:t>Los elementos que deben considerarse al analizar la existencia o inexistencia de incumplimiento se encuentran señaladas en el artículo 21 de la Decisión 623.</w:t>
      </w:r>
    </w:p>
    <w:p w:rsidR="00A86FA5" w:rsidRDefault="00A86FA5" w:rsidP="00A86FA5">
      <w:pPr>
        <w:spacing w:line="240" w:lineRule="auto"/>
        <w:ind w:left="1080"/>
        <w:rPr>
          <w:rFonts w:cs="Arial"/>
          <w:b/>
          <w:bCs/>
          <w:i/>
          <w:iCs/>
          <w:color w:val="000000"/>
        </w:rPr>
      </w:pPr>
    </w:p>
    <w:p w:rsidR="00A86FA5" w:rsidRPr="00C95617" w:rsidRDefault="00A86FA5" w:rsidP="00A86FA5">
      <w:pPr>
        <w:spacing w:line="240" w:lineRule="auto"/>
        <w:ind w:left="1080"/>
        <w:rPr>
          <w:rFonts w:cs="Arial"/>
          <w:sz w:val="22"/>
          <w:szCs w:val="22"/>
        </w:rPr>
      </w:pPr>
      <w:r w:rsidRPr="00C95617">
        <w:rPr>
          <w:rFonts w:cs="Arial"/>
          <w:b/>
          <w:bCs/>
          <w:i/>
          <w:iCs/>
          <w:color w:val="000000"/>
          <w:sz w:val="22"/>
          <w:szCs w:val="22"/>
        </w:rPr>
        <w:t xml:space="preserve">Artículo 21.- </w:t>
      </w:r>
      <w:r w:rsidRPr="00C95617">
        <w:rPr>
          <w:rFonts w:cs="Arial"/>
          <w:i/>
          <w:iCs/>
          <w:color w:val="000000"/>
          <w:sz w:val="22"/>
          <w:szCs w:val="22"/>
        </w:rPr>
        <w:t>El Dictamen de la Secretaría General deberá contener:</w:t>
      </w:r>
    </w:p>
    <w:p w:rsidR="00A86FA5" w:rsidRPr="00C95617" w:rsidRDefault="00A86FA5" w:rsidP="00A86FA5">
      <w:pPr>
        <w:spacing w:line="240" w:lineRule="auto"/>
        <w:ind w:left="1080"/>
        <w:rPr>
          <w:rFonts w:cs="Arial"/>
          <w:sz w:val="22"/>
          <w:szCs w:val="22"/>
        </w:rPr>
      </w:pPr>
      <w:r w:rsidRPr="00C95617">
        <w:rPr>
          <w:rFonts w:cs="Arial"/>
          <w:i/>
          <w:iCs/>
          <w:color w:val="000000"/>
          <w:sz w:val="22"/>
          <w:szCs w:val="22"/>
        </w:rPr>
        <w:t>a)</w:t>
      </w:r>
      <w:r w:rsidRPr="00C95617">
        <w:rPr>
          <w:rFonts w:cs="Arial"/>
          <w:i/>
          <w:iCs/>
          <w:color w:val="000000"/>
          <w:sz w:val="22"/>
          <w:szCs w:val="22"/>
        </w:rPr>
        <w:tab/>
        <w:t>Una relación de las actuaciones del procedimiento;</w:t>
      </w:r>
    </w:p>
    <w:p w:rsidR="00A86FA5" w:rsidRPr="00C95617" w:rsidRDefault="00A86FA5" w:rsidP="00A86FA5">
      <w:pPr>
        <w:spacing w:line="240" w:lineRule="auto"/>
        <w:ind w:left="1080"/>
        <w:rPr>
          <w:rFonts w:cs="Arial"/>
          <w:sz w:val="22"/>
          <w:szCs w:val="22"/>
        </w:rPr>
      </w:pPr>
      <w:r w:rsidRPr="00C95617">
        <w:rPr>
          <w:rFonts w:cs="Arial"/>
          <w:i/>
          <w:iCs/>
          <w:color w:val="000000"/>
          <w:sz w:val="22"/>
          <w:szCs w:val="22"/>
        </w:rPr>
        <w:t>b)</w:t>
      </w:r>
      <w:r w:rsidRPr="00C95617">
        <w:rPr>
          <w:rFonts w:cs="Arial"/>
          <w:i/>
          <w:iCs/>
          <w:color w:val="000000"/>
          <w:sz w:val="22"/>
          <w:szCs w:val="22"/>
        </w:rPr>
        <w:tab/>
        <w:t>La identificación y descripción de las medidas o conductas que fueron materia del reclamo;</w:t>
      </w:r>
    </w:p>
    <w:p w:rsidR="00A86FA5" w:rsidRPr="00C95617" w:rsidRDefault="00A86FA5" w:rsidP="00A86FA5">
      <w:pPr>
        <w:spacing w:line="240" w:lineRule="auto"/>
        <w:ind w:left="1080"/>
        <w:rPr>
          <w:rFonts w:cs="Arial"/>
          <w:sz w:val="22"/>
          <w:szCs w:val="22"/>
        </w:rPr>
      </w:pPr>
      <w:r w:rsidRPr="00C95617">
        <w:rPr>
          <w:rFonts w:cs="Arial"/>
          <w:i/>
          <w:iCs/>
          <w:color w:val="000000"/>
          <w:sz w:val="22"/>
          <w:szCs w:val="22"/>
        </w:rPr>
        <w:t>c)</w:t>
      </w:r>
      <w:r w:rsidRPr="00C95617">
        <w:rPr>
          <w:rFonts w:cs="Arial"/>
          <w:i/>
          <w:iCs/>
          <w:color w:val="000000"/>
          <w:sz w:val="22"/>
          <w:szCs w:val="22"/>
        </w:rPr>
        <w:tab/>
        <w:t>Una relación de los argumentos del reclamo y de la contestación;</w:t>
      </w:r>
    </w:p>
    <w:p w:rsidR="00A86FA5" w:rsidRPr="00C95617" w:rsidRDefault="00A86FA5" w:rsidP="00A86FA5">
      <w:pPr>
        <w:spacing w:line="240" w:lineRule="auto"/>
        <w:ind w:left="1080"/>
        <w:rPr>
          <w:rFonts w:cs="Arial"/>
          <w:sz w:val="22"/>
          <w:szCs w:val="22"/>
        </w:rPr>
      </w:pPr>
      <w:r w:rsidRPr="00C95617">
        <w:rPr>
          <w:rFonts w:cs="Arial"/>
          <w:i/>
          <w:iCs/>
          <w:color w:val="000000"/>
          <w:sz w:val="22"/>
          <w:szCs w:val="22"/>
        </w:rPr>
        <w:t>d)</w:t>
      </w:r>
      <w:r w:rsidRPr="00C95617">
        <w:rPr>
          <w:rFonts w:cs="Arial"/>
          <w:i/>
          <w:iCs/>
          <w:color w:val="000000"/>
          <w:sz w:val="22"/>
          <w:szCs w:val="22"/>
        </w:rPr>
        <w:tab/>
        <w:t>La exposición de los motivos de la Secretaría General sobre el estado de cumplimiento de las obligaciones comunitarias, sobre la base de los argumentos del reclamo y la contestación;</w:t>
      </w:r>
    </w:p>
    <w:p w:rsidR="00A86FA5" w:rsidRPr="00C95617" w:rsidRDefault="00A86FA5" w:rsidP="00A86FA5">
      <w:pPr>
        <w:spacing w:line="240" w:lineRule="auto"/>
        <w:ind w:left="1080"/>
        <w:rPr>
          <w:rFonts w:cs="Arial"/>
          <w:sz w:val="22"/>
          <w:szCs w:val="22"/>
        </w:rPr>
      </w:pPr>
      <w:r w:rsidRPr="00C95617">
        <w:rPr>
          <w:rFonts w:cs="Arial"/>
          <w:i/>
          <w:iCs/>
          <w:color w:val="000000"/>
          <w:sz w:val="22"/>
          <w:szCs w:val="22"/>
        </w:rPr>
        <w:t>e)</w:t>
      </w:r>
      <w:r w:rsidRPr="00C95617">
        <w:rPr>
          <w:rFonts w:cs="Arial"/>
          <w:i/>
          <w:iCs/>
          <w:color w:val="000000"/>
          <w:sz w:val="22"/>
          <w:szCs w:val="22"/>
        </w:rPr>
        <w:tab/>
        <w:t>La conclusión de la Secretaría General sobre el estado de cumplimiento de las obligaciones comunitarias;</w:t>
      </w:r>
    </w:p>
    <w:p w:rsidR="00A86FA5" w:rsidRPr="00C95617" w:rsidRDefault="00A86FA5" w:rsidP="00A86FA5">
      <w:pPr>
        <w:spacing w:line="240" w:lineRule="auto"/>
        <w:ind w:left="1080"/>
        <w:rPr>
          <w:rFonts w:cs="Arial"/>
          <w:sz w:val="22"/>
          <w:szCs w:val="22"/>
        </w:rPr>
      </w:pPr>
      <w:r w:rsidRPr="00C95617">
        <w:rPr>
          <w:rFonts w:cs="Arial"/>
          <w:i/>
          <w:iCs/>
          <w:color w:val="000000"/>
          <w:sz w:val="22"/>
          <w:szCs w:val="22"/>
        </w:rPr>
        <w:t>f)</w:t>
      </w:r>
      <w:r w:rsidRPr="00C95617">
        <w:rPr>
          <w:rFonts w:cs="Arial"/>
          <w:i/>
          <w:iCs/>
          <w:color w:val="000000"/>
          <w:sz w:val="22"/>
          <w:szCs w:val="22"/>
        </w:rPr>
        <w:tab/>
        <w:t>La indicación o sugerencia de las medidas que le parezcan más apropiadas para corregir el incumplimiento;</w:t>
      </w:r>
    </w:p>
    <w:p w:rsidR="00A86FA5" w:rsidRPr="00C95617" w:rsidRDefault="00A86FA5" w:rsidP="00A86FA5">
      <w:pPr>
        <w:spacing w:line="240" w:lineRule="auto"/>
        <w:ind w:left="1080"/>
        <w:rPr>
          <w:rFonts w:cs="Arial"/>
          <w:sz w:val="22"/>
          <w:szCs w:val="22"/>
        </w:rPr>
      </w:pPr>
      <w:r w:rsidRPr="00C95617">
        <w:rPr>
          <w:rFonts w:cs="Arial"/>
          <w:i/>
          <w:iCs/>
          <w:color w:val="000000"/>
          <w:sz w:val="22"/>
          <w:szCs w:val="22"/>
        </w:rPr>
        <w:lastRenderedPageBreak/>
        <w:t>g)</w:t>
      </w:r>
      <w:r w:rsidRPr="00C95617">
        <w:rPr>
          <w:rFonts w:cs="Arial"/>
          <w:i/>
          <w:iCs/>
          <w:color w:val="000000"/>
          <w:sz w:val="22"/>
          <w:szCs w:val="22"/>
        </w:rPr>
        <w:tab/>
        <w:t>Cuando corresponda, la indicación de un plazo compatible con la urgencia del caso, no menor de quince (15) ni mayor de treinta (30) días, para que el País Miembro informe sobre las medidas dirigidas a corregir el incumplimiento o exprese su posición en relación con el Dictamen.</w:t>
      </w:r>
    </w:p>
    <w:p w:rsidR="00A86FA5" w:rsidRPr="00C95617" w:rsidRDefault="00A86FA5" w:rsidP="00A86FA5">
      <w:pPr>
        <w:pStyle w:val="Prrafodelista"/>
        <w:spacing w:line="240" w:lineRule="auto"/>
        <w:ind w:left="1080"/>
        <w:rPr>
          <w:rFonts w:cs="Arial"/>
          <w:b/>
          <w:sz w:val="22"/>
          <w:szCs w:val="22"/>
        </w:rPr>
      </w:pPr>
    </w:p>
    <w:p w:rsidR="00A86FA5" w:rsidRPr="00C95617" w:rsidRDefault="00A86FA5" w:rsidP="00A86FA5">
      <w:pPr>
        <w:pStyle w:val="NormalWeb"/>
        <w:numPr>
          <w:ilvl w:val="0"/>
          <w:numId w:val="18"/>
        </w:numPr>
        <w:spacing w:before="0" w:beforeAutospacing="0" w:after="0" w:afterAutospacing="0"/>
        <w:textAlignment w:val="baseline"/>
        <w:rPr>
          <w:rFonts w:ascii="Arial" w:hAnsi="Arial" w:cs="Arial"/>
          <w:b/>
          <w:bCs/>
          <w:color w:val="000000"/>
          <w:sz w:val="22"/>
          <w:szCs w:val="22"/>
        </w:rPr>
      </w:pPr>
      <w:r w:rsidRPr="00C95617">
        <w:rPr>
          <w:rFonts w:ascii="Arial" w:hAnsi="Arial" w:cs="Arial"/>
          <w:b/>
          <w:bCs/>
          <w:color w:val="000000"/>
          <w:sz w:val="22"/>
          <w:szCs w:val="22"/>
        </w:rPr>
        <w:t>RELACIÓN DE LAS ACTUACIONES DEL PROCEDIMIENTO (ANTECEDENTES).-</w:t>
      </w:r>
    </w:p>
    <w:p w:rsidR="00A86FA5" w:rsidRDefault="00A86FA5" w:rsidP="00A86FA5">
      <w:pPr>
        <w:pStyle w:val="Prrafodelista"/>
        <w:spacing w:line="240" w:lineRule="auto"/>
        <w:rPr>
          <w:rFonts w:cs="Arial"/>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C95617">
        <w:rPr>
          <w:rFonts w:cs="Arial"/>
          <w:sz w:val="22"/>
          <w:szCs w:val="22"/>
        </w:rPr>
        <w:t xml:space="preserve">El gobierno de Colombia promulgó el Decreto Supremo 2210 con fecha 07 de octubre de 2013, publicado en el Diario Oficial N° 48.936 en la misma fecha, el mismo que bajo el argumento generar estabilidad social y precautelar la demanda alimentaria nacional ante las importaciones de productos agrícolas, establece contingentes anuales para determinados productos agrícolas; entre uno ellos, uno anual de 102.392 toneladas, para la importación de cebolla fresca apta para consumo humano, clasificada en la </w:t>
      </w:r>
      <w:proofErr w:type="spellStart"/>
      <w:r w:rsidRPr="00C95617">
        <w:rPr>
          <w:rFonts w:cs="Arial"/>
          <w:sz w:val="22"/>
          <w:szCs w:val="22"/>
        </w:rPr>
        <w:t>subpartida</w:t>
      </w:r>
      <w:proofErr w:type="spellEnd"/>
      <w:r w:rsidRPr="00C95617">
        <w:rPr>
          <w:rFonts w:cs="Arial"/>
          <w:sz w:val="22"/>
          <w:szCs w:val="22"/>
        </w:rPr>
        <w:t xml:space="preserve"> NANDINA 0703.10.00.00.</w:t>
      </w:r>
    </w:p>
    <w:p w:rsidR="00A86FA5" w:rsidRDefault="00A86FA5" w:rsidP="00A86FA5">
      <w:pPr>
        <w:pStyle w:val="Prrafodelista"/>
        <w:spacing w:line="240" w:lineRule="auto"/>
        <w:ind w:left="-12"/>
        <w:rPr>
          <w:rFonts w:cs="Arial"/>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C95617">
        <w:rPr>
          <w:rFonts w:cs="Arial"/>
          <w:sz w:val="22"/>
          <w:szCs w:val="22"/>
        </w:rPr>
        <w:t>Mediante Resolución 1647 de la Secretaría General de la Comunidad Andina con fecha 04 de febrero de 2014, debidamente publicada en la Gaceta Oficial del Acuerdo de Cartagena N° 2290 de fecha 05 de febrero de 2014, determinó:</w:t>
      </w:r>
    </w:p>
    <w:p w:rsidR="00A86FA5" w:rsidRPr="00C95617" w:rsidRDefault="00A86FA5" w:rsidP="00A86FA5">
      <w:pPr>
        <w:pStyle w:val="Prrafodelista"/>
        <w:spacing w:line="240" w:lineRule="auto"/>
        <w:rPr>
          <w:rFonts w:cs="Arial"/>
          <w:sz w:val="22"/>
          <w:szCs w:val="22"/>
        </w:rPr>
      </w:pPr>
      <w:r>
        <w:rPr>
          <w:rFonts w:cs="Arial"/>
        </w:rPr>
        <w:t xml:space="preserve">a) </w:t>
      </w:r>
      <w:r w:rsidRPr="00C95617">
        <w:rPr>
          <w:rFonts w:cs="Arial"/>
          <w:sz w:val="22"/>
          <w:szCs w:val="22"/>
        </w:rPr>
        <w:t>En el artículo 1.- Suspender las medidas aplicadas en los artículos 1 al 10 del Decreto Supremo 2210 de la Republica de Colombia.</w:t>
      </w:r>
    </w:p>
    <w:p w:rsidR="00A86FA5" w:rsidRPr="00C95617" w:rsidRDefault="00A86FA5" w:rsidP="00A86FA5">
      <w:pPr>
        <w:pStyle w:val="Prrafodelista"/>
        <w:spacing w:line="240" w:lineRule="auto"/>
        <w:rPr>
          <w:rFonts w:cs="Arial"/>
          <w:sz w:val="22"/>
          <w:szCs w:val="22"/>
        </w:rPr>
      </w:pPr>
      <w:r w:rsidRPr="00C95617">
        <w:rPr>
          <w:rFonts w:cs="Arial"/>
          <w:sz w:val="22"/>
          <w:szCs w:val="22"/>
        </w:rPr>
        <w:t xml:space="preserve">b) En el artículo 2.- Autorizar la aplicación de un contingente  a las importaciones de la cebolla clasificada en la </w:t>
      </w:r>
      <w:proofErr w:type="spellStart"/>
      <w:r w:rsidRPr="00C95617">
        <w:rPr>
          <w:rFonts w:cs="Arial"/>
          <w:sz w:val="22"/>
          <w:szCs w:val="22"/>
        </w:rPr>
        <w:t>subpartida</w:t>
      </w:r>
      <w:proofErr w:type="spellEnd"/>
      <w:r w:rsidRPr="00C95617">
        <w:rPr>
          <w:rFonts w:cs="Arial"/>
          <w:sz w:val="22"/>
          <w:szCs w:val="22"/>
        </w:rPr>
        <w:t xml:space="preserve"> 0703.10.00, originaria de la República del Perú. </w:t>
      </w:r>
    </w:p>
    <w:p w:rsidR="00A86FA5" w:rsidRPr="00C95617" w:rsidRDefault="00A86FA5" w:rsidP="00A86FA5">
      <w:pPr>
        <w:pStyle w:val="Prrafodelista"/>
        <w:spacing w:line="240" w:lineRule="auto"/>
        <w:rPr>
          <w:rFonts w:cs="Arial"/>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C95617">
        <w:rPr>
          <w:rFonts w:cs="Arial"/>
          <w:sz w:val="22"/>
          <w:szCs w:val="22"/>
        </w:rPr>
        <w:t>El 21 de marzo de 2014, los Gobiernos de Colombia y de Perú presentan por vía separada sus recursos de reconsideración en contra la Resolución 1647, mediante los oficios OALI-039 y 104-2014-MINCETUR/VMCE, respectivamente.</w:t>
      </w:r>
    </w:p>
    <w:p w:rsidR="00A86FA5" w:rsidRPr="00C95617" w:rsidRDefault="00A86FA5" w:rsidP="00A86FA5">
      <w:pPr>
        <w:pStyle w:val="Prrafodelista"/>
        <w:spacing w:line="240" w:lineRule="auto"/>
        <w:rPr>
          <w:rFonts w:cs="Arial"/>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C95617">
        <w:rPr>
          <w:rFonts w:cs="Arial"/>
          <w:sz w:val="22"/>
          <w:szCs w:val="22"/>
        </w:rPr>
        <w:t xml:space="preserve">El 30 de abril de 2014 la Secretaría General de la Comunidad Andina emite la Resolución 1671, publicada en la Gaceta Oficial del Acuerdo de Cartagena N°  2332 con fecha 05 de mayo de 2014,  desestimando los recursos de reconsideración formulados  por los gobiernos de Perú y Colombia; con este acto queda firme la suspensión y autorización dispuestas por la Resolución 1647. </w:t>
      </w:r>
    </w:p>
    <w:p w:rsidR="00A86FA5" w:rsidRPr="00C95617" w:rsidRDefault="00A86FA5" w:rsidP="00A86FA5">
      <w:pPr>
        <w:pStyle w:val="Prrafodelista"/>
        <w:spacing w:line="240" w:lineRule="auto"/>
        <w:rPr>
          <w:rFonts w:cs="Arial"/>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C95617">
        <w:rPr>
          <w:rFonts w:cs="Arial"/>
          <w:sz w:val="22"/>
          <w:szCs w:val="22"/>
        </w:rPr>
        <w:t>Con fecha 14 de octubre de 2014, con número de ingreso 1742, se recibe por parte de los interesados señalados en el párrafo [1] de este informe, el reclamo por incumplimiento antes señalado</w:t>
      </w:r>
    </w:p>
    <w:p w:rsidR="00A86FA5" w:rsidRPr="00C95617" w:rsidRDefault="00A86FA5" w:rsidP="00A86FA5">
      <w:pPr>
        <w:pStyle w:val="Prrafodelista"/>
        <w:spacing w:line="240" w:lineRule="auto"/>
        <w:rPr>
          <w:rFonts w:cs="Arial"/>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C95617">
        <w:rPr>
          <w:rFonts w:cs="Arial"/>
          <w:sz w:val="22"/>
          <w:szCs w:val="22"/>
        </w:rPr>
        <w:t>Con fecha 29 de octubre de 2014, mediante Informe Legal, se procede al análisis de admisibilidad del presente reclamo, de esta suerte, obra en el expediente la siguiente documentación:</w:t>
      </w:r>
    </w:p>
    <w:p w:rsidR="00A86FA5" w:rsidRPr="00C95617" w:rsidRDefault="00A86FA5" w:rsidP="00A86FA5">
      <w:pPr>
        <w:pStyle w:val="Prrafodelista"/>
        <w:tabs>
          <w:tab w:val="left" w:pos="425"/>
        </w:tabs>
        <w:spacing w:line="240" w:lineRule="auto"/>
        <w:ind w:left="425"/>
        <w:rPr>
          <w:rFonts w:cs="Arial"/>
          <w:sz w:val="22"/>
          <w:szCs w:val="22"/>
        </w:rPr>
      </w:pPr>
    </w:p>
    <w:p w:rsidR="00A86FA5" w:rsidRPr="00C95617" w:rsidRDefault="00A86FA5" w:rsidP="00A86FA5">
      <w:pPr>
        <w:pStyle w:val="Prrafodelista"/>
        <w:widowControl/>
        <w:numPr>
          <w:ilvl w:val="0"/>
          <w:numId w:val="17"/>
        </w:numPr>
        <w:adjustRightInd/>
        <w:spacing w:line="240" w:lineRule="auto"/>
        <w:ind w:left="993" w:hanging="284"/>
        <w:textAlignment w:val="auto"/>
        <w:rPr>
          <w:rFonts w:cs="Arial"/>
          <w:sz w:val="22"/>
          <w:szCs w:val="22"/>
        </w:rPr>
      </w:pPr>
      <w:r w:rsidRPr="00C95617">
        <w:rPr>
          <w:rFonts w:cs="Arial"/>
          <w:sz w:val="22"/>
          <w:szCs w:val="22"/>
        </w:rPr>
        <w:t xml:space="preserve">Se identifica de manera completa a los reclamantes como </w:t>
      </w:r>
      <w:proofErr w:type="spellStart"/>
      <w:r w:rsidRPr="00C95617">
        <w:rPr>
          <w:rFonts w:cs="Arial"/>
          <w:color w:val="000000"/>
          <w:sz w:val="22"/>
          <w:szCs w:val="22"/>
          <w:lang w:eastAsia="es-ES"/>
        </w:rPr>
        <w:t>Coagromar</w:t>
      </w:r>
      <w:proofErr w:type="spellEnd"/>
      <w:r w:rsidRPr="00C95617">
        <w:rPr>
          <w:rFonts w:cs="Arial"/>
          <w:color w:val="000000"/>
          <w:sz w:val="22"/>
          <w:szCs w:val="22"/>
          <w:lang w:eastAsia="es-ES"/>
        </w:rPr>
        <w:t xml:space="preserve"> S.A., </w:t>
      </w:r>
      <w:proofErr w:type="spellStart"/>
      <w:r w:rsidRPr="00C95617">
        <w:rPr>
          <w:rFonts w:cs="Arial"/>
          <w:color w:val="000000"/>
          <w:sz w:val="22"/>
          <w:szCs w:val="22"/>
          <w:lang w:eastAsia="es-ES"/>
        </w:rPr>
        <w:t>Incolagro</w:t>
      </w:r>
      <w:proofErr w:type="spellEnd"/>
      <w:r w:rsidRPr="00C95617">
        <w:rPr>
          <w:rFonts w:cs="Arial"/>
          <w:color w:val="000000"/>
          <w:sz w:val="22"/>
          <w:szCs w:val="22"/>
          <w:lang w:eastAsia="es-ES"/>
        </w:rPr>
        <w:t xml:space="preserve"> E.U., </w:t>
      </w:r>
      <w:proofErr w:type="spellStart"/>
      <w:r w:rsidRPr="00C95617">
        <w:rPr>
          <w:rFonts w:cs="Arial"/>
          <w:color w:val="000000"/>
          <w:sz w:val="22"/>
          <w:szCs w:val="22"/>
          <w:lang w:eastAsia="es-ES"/>
        </w:rPr>
        <w:t>Gedecomex</w:t>
      </w:r>
      <w:proofErr w:type="spellEnd"/>
      <w:r w:rsidRPr="00C95617">
        <w:rPr>
          <w:rFonts w:cs="Arial"/>
          <w:color w:val="000000"/>
          <w:sz w:val="22"/>
          <w:szCs w:val="22"/>
          <w:lang w:eastAsia="es-ES"/>
        </w:rPr>
        <w:t xml:space="preserve"> S.A.S., </w:t>
      </w:r>
      <w:proofErr w:type="spellStart"/>
      <w:r w:rsidRPr="00C95617">
        <w:rPr>
          <w:rFonts w:cs="Arial"/>
          <w:color w:val="000000"/>
          <w:sz w:val="22"/>
          <w:szCs w:val="22"/>
          <w:lang w:eastAsia="es-ES"/>
        </w:rPr>
        <w:t>Comexsur</w:t>
      </w:r>
      <w:proofErr w:type="spellEnd"/>
      <w:r w:rsidRPr="00C95617">
        <w:rPr>
          <w:rFonts w:cs="Arial"/>
          <w:color w:val="000000"/>
          <w:sz w:val="22"/>
          <w:szCs w:val="22"/>
          <w:lang w:eastAsia="es-ES"/>
        </w:rPr>
        <w:t xml:space="preserve"> S.A.S. y Carlos Alberto </w:t>
      </w:r>
      <w:proofErr w:type="spellStart"/>
      <w:r w:rsidRPr="00C95617">
        <w:rPr>
          <w:rFonts w:cs="Arial"/>
          <w:color w:val="000000"/>
          <w:sz w:val="22"/>
          <w:szCs w:val="22"/>
          <w:lang w:eastAsia="es-ES"/>
        </w:rPr>
        <w:t>Arciniegas</w:t>
      </w:r>
      <w:proofErr w:type="spellEnd"/>
      <w:r w:rsidRPr="00C95617">
        <w:rPr>
          <w:rFonts w:cs="Arial"/>
          <w:sz w:val="22"/>
          <w:szCs w:val="22"/>
        </w:rPr>
        <w:t xml:space="preserve">, acreditándose su existencia legal de las empresas, así como las facultades de sus representantes legales para actuar en representación de las mismas, conforme a los Certificados de Comercio emitidos por la Cámara de Comercio de Ipiales y las correspondientes copias de sus cédulas de identidad, que adjuntan en el expediente; </w:t>
      </w:r>
      <w:proofErr w:type="spellStart"/>
      <w:r w:rsidRPr="00C95617">
        <w:rPr>
          <w:rFonts w:cs="Arial"/>
          <w:sz w:val="22"/>
          <w:szCs w:val="22"/>
        </w:rPr>
        <w:t>Coagromar</w:t>
      </w:r>
      <w:proofErr w:type="spellEnd"/>
      <w:r w:rsidRPr="00C95617">
        <w:rPr>
          <w:rFonts w:cs="Arial"/>
          <w:sz w:val="22"/>
          <w:szCs w:val="22"/>
        </w:rPr>
        <w:t xml:space="preserve"> S.A. (fojas 16 al 20), </w:t>
      </w:r>
      <w:proofErr w:type="spellStart"/>
      <w:r w:rsidRPr="00C95617">
        <w:rPr>
          <w:rFonts w:cs="Arial"/>
          <w:sz w:val="22"/>
          <w:szCs w:val="22"/>
        </w:rPr>
        <w:t>Incolagro</w:t>
      </w:r>
      <w:proofErr w:type="spellEnd"/>
      <w:r w:rsidRPr="00C95617">
        <w:rPr>
          <w:rFonts w:cs="Arial"/>
          <w:sz w:val="22"/>
          <w:szCs w:val="22"/>
        </w:rPr>
        <w:t xml:space="preserve"> E.U (fojas 22 a 24), </w:t>
      </w:r>
      <w:proofErr w:type="spellStart"/>
      <w:r w:rsidRPr="00C95617">
        <w:rPr>
          <w:rFonts w:cs="Arial"/>
          <w:sz w:val="22"/>
          <w:szCs w:val="22"/>
        </w:rPr>
        <w:t>Gedecomex</w:t>
      </w:r>
      <w:proofErr w:type="spellEnd"/>
      <w:r w:rsidRPr="00C95617">
        <w:rPr>
          <w:rFonts w:cs="Arial"/>
          <w:sz w:val="22"/>
          <w:szCs w:val="22"/>
        </w:rPr>
        <w:t xml:space="preserve"> S.A.S. (fojas 26 al 30), </w:t>
      </w:r>
      <w:proofErr w:type="spellStart"/>
      <w:r w:rsidRPr="00C95617">
        <w:rPr>
          <w:rFonts w:cs="Arial"/>
          <w:sz w:val="22"/>
          <w:szCs w:val="22"/>
        </w:rPr>
        <w:t>Comexsur</w:t>
      </w:r>
      <w:proofErr w:type="spellEnd"/>
      <w:r w:rsidRPr="00C95617">
        <w:rPr>
          <w:rFonts w:cs="Arial"/>
          <w:sz w:val="22"/>
          <w:szCs w:val="22"/>
        </w:rPr>
        <w:t xml:space="preserve"> S.A.S. (fojas 32 a 35) y Carlos Alberto </w:t>
      </w:r>
      <w:proofErr w:type="spellStart"/>
      <w:r w:rsidRPr="00C95617">
        <w:rPr>
          <w:rFonts w:cs="Arial"/>
          <w:sz w:val="22"/>
          <w:szCs w:val="22"/>
        </w:rPr>
        <w:t>Arciniegas</w:t>
      </w:r>
      <w:proofErr w:type="spellEnd"/>
      <w:r w:rsidRPr="00C95617">
        <w:rPr>
          <w:rFonts w:cs="Arial"/>
          <w:sz w:val="22"/>
          <w:szCs w:val="22"/>
        </w:rPr>
        <w:t xml:space="preserve"> (fojas 37 al 39);</w:t>
      </w:r>
    </w:p>
    <w:p w:rsidR="00A86FA5" w:rsidRPr="00C95617" w:rsidRDefault="00A86FA5" w:rsidP="00A86FA5">
      <w:pPr>
        <w:pStyle w:val="Prrafodelista"/>
        <w:widowControl/>
        <w:numPr>
          <w:ilvl w:val="0"/>
          <w:numId w:val="17"/>
        </w:numPr>
        <w:adjustRightInd/>
        <w:spacing w:line="240" w:lineRule="auto"/>
        <w:ind w:left="993" w:hanging="284"/>
        <w:textAlignment w:val="auto"/>
        <w:rPr>
          <w:rFonts w:cs="Arial"/>
          <w:i/>
          <w:sz w:val="22"/>
          <w:szCs w:val="22"/>
        </w:rPr>
      </w:pPr>
      <w:r w:rsidRPr="00C95617">
        <w:rPr>
          <w:rFonts w:cs="Arial"/>
          <w:sz w:val="22"/>
          <w:szCs w:val="22"/>
        </w:rPr>
        <w:t>La invocación de que se actúa conforme al artículo 25 del Tratado del Tribunal figura en la foja 2 del escrito;</w:t>
      </w:r>
    </w:p>
    <w:p w:rsidR="00A86FA5" w:rsidRPr="00C95617" w:rsidRDefault="00A86FA5" w:rsidP="00A86FA5">
      <w:pPr>
        <w:pStyle w:val="Prrafodelista"/>
        <w:widowControl/>
        <w:numPr>
          <w:ilvl w:val="0"/>
          <w:numId w:val="17"/>
        </w:numPr>
        <w:adjustRightInd/>
        <w:spacing w:line="240" w:lineRule="auto"/>
        <w:ind w:left="993" w:hanging="284"/>
        <w:textAlignment w:val="auto"/>
        <w:rPr>
          <w:rFonts w:cs="Arial"/>
          <w:sz w:val="22"/>
          <w:szCs w:val="22"/>
        </w:rPr>
      </w:pPr>
      <w:r w:rsidRPr="00C95617">
        <w:rPr>
          <w:rFonts w:cs="Arial"/>
          <w:sz w:val="22"/>
          <w:szCs w:val="22"/>
        </w:rPr>
        <w:lastRenderedPageBreak/>
        <w:t>El escrito contiene la identificación y descripción clara de las medidas o conductas que el reclamante considera que constituyen un incumplimiento, acompañada de la información que resulte;</w:t>
      </w:r>
    </w:p>
    <w:p w:rsidR="00A86FA5" w:rsidRPr="00C95617" w:rsidRDefault="00A86FA5" w:rsidP="00A86FA5">
      <w:pPr>
        <w:pStyle w:val="Prrafodelista"/>
        <w:widowControl/>
        <w:numPr>
          <w:ilvl w:val="0"/>
          <w:numId w:val="17"/>
        </w:numPr>
        <w:adjustRightInd/>
        <w:spacing w:line="240" w:lineRule="auto"/>
        <w:ind w:left="993" w:hanging="284"/>
        <w:textAlignment w:val="auto"/>
        <w:rPr>
          <w:rFonts w:cs="Arial"/>
          <w:sz w:val="22"/>
          <w:szCs w:val="22"/>
        </w:rPr>
      </w:pPr>
      <w:r w:rsidRPr="00C95617">
        <w:rPr>
          <w:rFonts w:cs="Arial"/>
          <w:sz w:val="22"/>
          <w:szCs w:val="22"/>
        </w:rPr>
        <w:t>Se identifica como las normas del ordenamiento jurídico de la Comunidad Andina que estarían siendo objeto de incumplimiento son los artículos 97 del Acuerdo de Cartagena; 4 del Tratado de Creación del Tribunal de Justicia Andino; 2 y 3 del Estatuto del Tribunal de Justicia de la Comunidad Andina; 1 y 2 de la Resolución 1647 y artículo único de la Resolución 1671;</w:t>
      </w:r>
    </w:p>
    <w:p w:rsidR="00A86FA5" w:rsidRPr="00C95617" w:rsidRDefault="00A86FA5" w:rsidP="00A86FA5">
      <w:pPr>
        <w:pStyle w:val="Prrafodelista"/>
        <w:widowControl/>
        <w:numPr>
          <w:ilvl w:val="0"/>
          <w:numId w:val="17"/>
        </w:numPr>
        <w:adjustRightInd/>
        <w:spacing w:line="240" w:lineRule="auto"/>
        <w:ind w:left="993" w:hanging="284"/>
        <w:textAlignment w:val="auto"/>
        <w:rPr>
          <w:rFonts w:cs="Arial"/>
          <w:sz w:val="22"/>
          <w:szCs w:val="22"/>
        </w:rPr>
      </w:pPr>
      <w:r w:rsidRPr="00C95617">
        <w:rPr>
          <w:rFonts w:cs="Arial"/>
          <w:sz w:val="22"/>
          <w:szCs w:val="22"/>
        </w:rPr>
        <w:t>A lo largo del escrito de reclamación se explican las razones por las cuales el reclamante considera que las medidas o conductas de un País Miembro constituyen un incumplimiento de las normas del ordenamiento jurídico de la Comunidad Andina identificadas; y,</w:t>
      </w:r>
    </w:p>
    <w:p w:rsidR="00A86FA5" w:rsidRPr="00C95617" w:rsidRDefault="00A86FA5" w:rsidP="00A86FA5">
      <w:pPr>
        <w:pStyle w:val="Prrafodelista"/>
        <w:widowControl/>
        <w:numPr>
          <w:ilvl w:val="0"/>
          <w:numId w:val="17"/>
        </w:numPr>
        <w:adjustRightInd/>
        <w:spacing w:line="240" w:lineRule="auto"/>
        <w:ind w:left="993" w:hanging="284"/>
        <w:textAlignment w:val="auto"/>
        <w:rPr>
          <w:rFonts w:cs="Arial"/>
          <w:sz w:val="22"/>
          <w:szCs w:val="22"/>
        </w:rPr>
      </w:pPr>
      <w:r w:rsidRPr="00C95617">
        <w:rPr>
          <w:rFonts w:cs="Arial"/>
          <w:sz w:val="22"/>
          <w:szCs w:val="22"/>
        </w:rPr>
        <w:t>Se consigna a fojas 13 del escrito de reclamación la dirección del lugar donde se harán las notificaciones pertinentes, números de teléfonos y correos electrónicos respectivos</w:t>
      </w:r>
      <w:r w:rsidRPr="00C95617">
        <w:rPr>
          <w:rFonts w:cs="Arial"/>
          <w:bCs/>
          <w:i/>
          <w:sz w:val="22"/>
          <w:szCs w:val="22"/>
        </w:rPr>
        <w:t>.</w:t>
      </w:r>
    </w:p>
    <w:p w:rsidR="00A86FA5" w:rsidRPr="00C95617" w:rsidRDefault="00A86FA5" w:rsidP="00A86FA5">
      <w:pPr>
        <w:pStyle w:val="Prrafodelista"/>
        <w:widowControl/>
        <w:numPr>
          <w:ilvl w:val="0"/>
          <w:numId w:val="17"/>
        </w:numPr>
        <w:adjustRightInd/>
        <w:spacing w:line="240" w:lineRule="auto"/>
        <w:ind w:left="993" w:hanging="284"/>
        <w:textAlignment w:val="auto"/>
        <w:rPr>
          <w:rFonts w:cs="Arial"/>
          <w:bCs/>
          <w:sz w:val="22"/>
          <w:szCs w:val="22"/>
        </w:rPr>
      </w:pPr>
      <w:r w:rsidRPr="00C95617">
        <w:rPr>
          <w:rFonts w:cs="Arial"/>
          <w:sz w:val="22"/>
          <w:szCs w:val="22"/>
        </w:rPr>
        <w:t>Se acredita la  condición de persona natural o jurídica afectada en sus derechos por cuanto se anexa copia de las declaraciones de importación emitidas ante la DIAN de las empresas afectadas.</w:t>
      </w:r>
    </w:p>
    <w:p w:rsidR="00A86FA5" w:rsidRPr="00C95617" w:rsidRDefault="00A86FA5" w:rsidP="00A86FA5">
      <w:pPr>
        <w:pStyle w:val="Prrafodelista"/>
        <w:widowControl/>
        <w:numPr>
          <w:ilvl w:val="0"/>
          <w:numId w:val="17"/>
        </w:numPr>
        <w:adjustRightInd/>
        <w:spacing w:line="240" w:lineRule="auto"/>
        <w:ind w:left="993" w:hanging="284"/>
        <w:textAlignment w:val="auto"/>
        <w:rPr>
          <w:rFonts w:cs="Arial"/>
          <w:bCs/>
          <w:sz w:val="22"/>
          <w:szCs w:val="22"/>
        </w:rPr>
      </w:pPr>
      <w:r w:rsidRPr="00C95617">
        <w:rPr>
          <w:rFonts w:cs="Arial"/>
          <w:bCs/>
          <w:sz w:val="22"/>
          <w:szCs w:val="22"/>
        </w:rPr>
        <w:t>Se presenta la declaración de que no se ha acudido simultáneamente y por la misma causa ante un tribunal nacional a fojas 12 del expediente.</w:t>
      </w:r>
    </w:p>
    <w:p w:rsidR="00A86FA5" w:rsidRPr="00C95617" w:rsidRDefault="00A86FA5" w:rsidP="00A86FA5">
      <w:pPr>
        <w:spacing w:line="240" w:lineRule="auto"/>
        <w:rPr>
          <w:rFonts w:cs="Arial"/>
          <w:bCs/>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C95617">
        <w:rPr>
          <w:rFonts w:cs="Arial"/>
          <w:bCs/>
          <w:sz w:val="22"/>
          <w:szCs w:val="22"/>
        </w:rPr>
        <w:t>Con fecha 30 de octubre de 2014, mediante nota SG/E/1804/2014, la Secretaría General conforme a lo dispuesto por los artículos 15 y 16 de la Decisión 623, admite a trámite el reclamo por incumplimiento y dispone traslado al gobierno de Colombia.</w:t>
      </w:r>
    </w:p>
    <w:p w:rsidR="00A86FA5" w:rsidRPr="00C95617" w:rsidRDefault="00A86FA5" w:rsidP="00A86FA5">
      <w:pPr>
        <w:pStyle w:val="Prrafodelista"/>
        <w:spacing w:line="240" w:lineRule="auto"/>
        <w:rPr>
          <w:rFonts w:cs="Arial"/>
          <w:bCs/>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C95617">
        <w:rPr>
          <w:rFonts w:cs="Arial"/>
          <w:bCs/>
          <w:sz w:val="22"/>
          <w:szCs w:val="22"/>
        </w:rPr>
        <w:t>En la misma fecha, mediante nota SG/E/1805/2014, la Secretaría General le comunica al Gobierno de Colombia y a los demás Países Miembros el inicio del trámite correspondiente otorgándoles un plazo de 30 días calendario para su contestación.</w:t>
      </w:r>
    </w:p>
    <w:p w:rsidR="00A86FA5" w:rsidRPr="00C95617" w:rsidRDefault="00A86FA5" w:rsidP="00A86FA5">
      <w:pPr>
        <w:pStyle w:val="Prrafodelista"/>
        <w:spacing w:line="240" w:lineRule="auto"/>
        <w:rPr>
          <w:rFonts w:cs="Arial"/>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C95617">
        <w:rPr>
          <w:rFonts w:cs="Arial"/>
          <w:bCs/>
          <w:sz w:val="22"/>
          <w:szCs w:val="22"/>
        </w:rPr>
        <w:t xml:space="preserve">Con fecha 10 de noviembre de 2014, mediante oficio OALI-165, con número de ingreso 1928, </w:t>
      </w:r>
      <w:r w:rsidRPr="00C95617">
        <w:rPr>
          <w:rFonts w:cs="Arial"/>
          <w:sz w:val="22"/>
          <w:szCs w:val="22"/>
        </w:rPr>
        <w:t>la Ministra de Comercio Industria y Turismo de la República de Colombia; Cecilia Álvarez-Correa Glen, confiere poder especial amplio y suficiente al abogado Nicolás Torres Álvarez, Jefe de la Oficina de Asuntos Legales Internacionales del Ministerio de Comercio Industria y Turismo, a fin de que actúe dentro de la fase prejudicial del proceso descrito en el asunto.</w:t>
      </w:r>
    </w:p>
    <w:p w:rsidR="00A86FA5" w:rsidRPr="00C95617" w:rsidRDefault="00A86FA5" w:rsidP="00A86FA5">
      <w:pPr>
        <w:pStyle w:val="Prrafodelista"/>
        <w:spacing w:line="240" w:lineRule="auto"/>
        <w:rPr>
          <w:rFonts w:cs="Arial"/>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C95617">
        <w:rPr>
          <w:rFonts w:cs="Arial"/>
          <w:sz w:val="22"/>
          <w:szCs w:val="22"/>
        </w:rPr>
        <w:t>En la misma fecha, mediante oficio OALI-166, con número de ingreso 1927, el abogado Nicolás Torres Álvarez, solicita una prórroga al plazo para presentar su contestación.</w:t>
      </w:r>
    </w:p>
    <w:p w:rsidR="00A86FA5" w:rsidRPr="00C95617" w:rsidRDefault="00A86FA5" w:rsidP="00A86FA5">
      <w:pPr>
        <w:pStyle w:val="Prrafodelista"/>
        <w:spacing w:line="240" w:lineRule="auto"/>
        <w:rPr>
          <w:rFonts w:cs="Arial"/>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C95617">
        <w:rPr>
          <w:rFonts w:cs="Arial"/>
          <w:sz w:val="22"/>
          <w:szCs w:val="22"/>
        </w:rPr>
        <w:t>Con fecha 17 de noviembre de 2014, mediante nota SG/E/1898/2014, la Secretaría General concede la prórroga solicitada por 30 días calendario los cuales vencerían el 31 de diciembre de 2014.</w:t>
      </w:r>
    </w:p>
    <w:p w:rsidR="00A86FA5" w:rsidRPr="00C95617" w:rsidRDefault="00A86FA5" w:rsidP="00A86FA5">
      <w:pPr>
        <w:pStyle w:val="Prrafodelista"/>
        <w:spacing w:line="240" w:lineRule="auto"/>
        <w:rPr>
          <w:rFonts w:cs="Arial"/>
          <w:sz w:val="22"/>
          <w:szCs w:val="22"/>
        </w:rPr>
      </w:pPr>
    </w:p>
    <w:p w:rsidR="00A86FA5" w:rsidRDefault="00A86FA5" w:rsidP="00A86FA5">
      <w:pPr>
        <w:pStyle w:val="Prrafodelista"/>
        <w:widowControl/>
        <w:numPr>
          <w:ilvl w:val="0"/>
          <w:numId w:val="16"/>
        </w:numPr>
        <w:adjustRightInd/>
        <w:spacing w:line="240" w:lineRule="auto"/>
        <w:ind w:left="-12" w:hanging="357"/>
        <w:textAlignment w:val="auto"/>
        <w:rPr>
          <w:rFonts w:cs="Arial"/>
        </w:rPr>
      </w:pPr>
      <w:r w:rsidRPr="00C95617">
        <w:rPr>
          <w:rFonts w:cs="Arial"/>
          <w:sz w:val="22"/>
          <w:szCs w:val="22"/>
        </w:rPr>
        <w:t xml:space="preserve">Mediante notas SG/E/1899/2014 y SG/E/1900/2014, de 17 de noviembre de 2014, la Secretaría General comunica a los reclamantes y demás Países Miembros </w:t>
      </w:r>
      <w:r w:rsidRPr="002F5835">
        <w:rPr>
          <w:rFonts w:cs="Arial"/>
          <w:sz w:val="22"/>
          <w:szCs w:val="22"/>
        </w:rPr>
        <w:t>respectivamente, la prórroga concedida al país de Colombia.</w:t>
      </w:r>
    </w:p>
    <w:p w:rsidR="00A86FA5" w:rsidRPr="002F5835" w:rsidRDefault="00A86FA5" w:rsidP="00A86FA5">
      <w:pPr>
        <w:pStyle w:val="Prrafodelista"/>
        <w:rPr>
          <w:rFonts w:cs="Arial"/>
        </w:rPr>
      </w:pPr>
    </w:p>
    <w:p w:rsidR="00A86FA5" w:rsidRPr="002F5835"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2F5835">
        <w:rPr>
          <w:rFonts w:cs="Arial"/>
          <w:sz w:val="22"/>
          <w:szCs w:val="22"/>
        </w:rPr>
        <w:t>Mediante la Resolución 1667 publicada en la Gaceta Oficial de la Comunidad Andina el 9 de abril de 2014 se actualizó el calendario de días inhábiles de la Secretaría General para el año 2014, el cual incluía el período de vacaciones colectivas, cuyas fechas fueron informadas al Gobierno y al Ministerio de Relaciones Exteriores del Ecuador y a los demás Países Miembros mediante el Oficio SG/E/2104/2014.</w:t>
      </w:r>
    </w:p>
    <w:p w:rsidR="00A86FA5" w:rsidRPr="00C95617" w:rsidRDefault="00A86FA5" w:rsidP="00A86FA5">
      <w:pPr>
        <w:pStyle w:val="Prrafodelista"/>
        <w:spacing w:line="240" w:lineRule="auto"/>
        <w:rPr>
          <w:rFonts w:cs="Arial"/>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C95617">
        <w:rPr>
          <w:rFonts w:cs="Arial"/>
          <w:sz w:val="22"/>
          <w:szCs w:val="22"/>
        </w:rPr>
        <w:t>Con fecha 07 de enero de 2015, mediante oficio OALI-001 con número de ingreso 035, el gobierno de Colombia presentó su contestación al reclamo.</w:t>
      </w:r>
    </w:p>
    <w:p w:rsidR="007B3BF9" w:rsidRPr="00C95617" w:rsidRDefault="007B3BF9" w:rsidP="00A86FA5">
      <w:pPr>
        <w:pStyle w:val="Prrafodelista"/>
        <w:spacing w:line="240" w:lineRule="auto"/>
        <w:rPr>
          <w:rFonts w:cs="Arial"/>
          <w:sz w:val="22"/>
          <w:szCs w:val="22"/>
        </w:rPr>
      </w:pPr>
    </w:p>
    <w:p w:rsidR="00A86FA5" w:rsidRPr="00C95617" w:rsidRDefault="00A86FA5" w:rsidP="00A86FA5">
      <w:pPr>
        <w:pStyle w:val="Prrafodelista"/>
        <w:widowControl/>
        <w:numPr>
          <w:ilvl w:val="0"/>
          <w:numId w:val="18"/>
        </w:numPr>
        <w:adjustRightInd/>
        <w:spacing w:line="240" w:lineRule="auto"/>
        <w:textAlignment w:val="auto"/>
        <w:rPr>
          <w:rFonts w:cs="Arial"/>
          <w:b/>
          <w:sz w:val="22"/>
          <w:szCs w:val="22"/>
        </w:rPr>
      </w:pPr>
      <w:r w:rsidRPr="00C95617">
        <w:rPr>
          <w:rFonts w:cs="Arial"/>
          <w:b/>
          <w:bCs/>
          <w:color w:val="000000"/>
          <w:sz w:val="22"/>
          <w:szCs w:val="22"/>
        </w:rPr>
        <w:t>IDENTIFICACIÓN DE LAS MEDIDAS SUPUESTAMENTE INFRACTORAS</w:t>
      </w:r>
    </w:p>
    <w:p w:rsidR="00A86FA5" w:rsidRPr="00C95617" w:rsidRDefault="00A86FA5" w:rsidP="00A86FA5">
      <w:pPr>
        <w:pStyle w:val="Prrafodelista"/>
        <w:spacing w:line="240" w:lineRule="auto"/>
        <w:ind w:left="1080"/>
        <w:rPr>
          <w:rFonts w:cs="Arial"/>
          <w:b/>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C95617">
        <w:rPr>
          <w:rFonts w:cs="Arial"/>
          <w:sz w:val="22"/>
          <w:szCs w:val="22"/>
        </w:rPr>
        <w:t xml:space="preserve">La reclamación versa sobre la exigencia del pago de aranceles a la importación de Cebolla Fresca para consumo humano clasificado por la </w:t>
      </w:r>
      <w:proofErr w:type="spellStart"/>
      <w:r w:rsidRPr="00C95617">
        <w:rPr>
          <w:rFonts w:cs="Arial"/>
          <w:sz w:val="22"/>
          <w:szCs w:val="22"/>
        </w:rPr>
        <w:t>subpartida</w:t>
      </w:r>
      <w:proofErr w:type="spellEnd"/>
      <w:r w:rsidRPr="00C95617">
        <w:rPr>
          <w:rFonts w:cs="Arial"/>
          <w:sz w:val="22"/>
          <w:szCs w:val="22"/>
        </w:rPr>
        <w:t xml:space="preserve">  07.3.10.00 originaria y procedente del Ecuador.</w:t>
      </w:r>
    </w:p>
    <w:p w:rsidR="00A86FA5" w:rsidRPr="00C95617" w:rsidRDefault="00A86FA5" w:rsidP="00A86FA5">
      <w:pPr>
        <w:spacing w:line="240" w:lineRule="auto"/>
        <w:rPr>
          <w:rFonts w:cs="Arial"/>
          <w:sz w:val="22"/>
          <w:szCs w:val="22"/>
        </w:rPr>
      </w:pPr>
    </w:p>
    <w:p w:rsidR="00A86FA5" w:rsidRPr="00C95617" w:rsidRDefault="00A86FA5" w:rsidP="00A86FA5">
      <w:pPr>
        <w:widowControl/>
        <w:numPr>
          <w:ilvl w:val="0"/>
          <w:numId w:val="19"/>
        </w:numPr>
        <w:adjustRightInd/>
        <w:spacing w:line="240" w:lineRule="auto"/>
        <w:rPr>
          <w:rFonts w:cs="Arial"/>
          <w:b/>
          <w:bCs/>
          <w:color w:val="000000"/>
          <w:sz w:val="22"/>
          <w:szCs w:val="22"/>
        </w:rPr>
      </w:pPr>
      <w:r w:rsidRPr="00C95617">
        <w:rPr>
          <w:rFonts w:cs="Arial"/>
          <w:b/>
          <w:bCs/>
          <w:color w:val="000000"/>
          <w:sz w:val="22"/>
          <w:szCs w:val="22"/>
        </w:rPr>
        <w:t>RELACIÓN DE LOS ARGUMENTOS DEL RECLAMO Y DE LA CONTESTACIÓN</w:t>
      </w:r>
    </w:p>
    <w:p w:rsidR="00A86FA5" w:rsidRPr="00C95617" w:rsidRDefault="00A86FA5" w:rsidP="00A86FA5">
      <w:pPr>
        <w:spacing w:line="240" w:lineRule="auto"/>
        <w:rPr>
          <w:rFonts w:cs="Arial"/>
          <w:sz w:val="22"/>
          <w:szCs w:val="22"/>
        </w:rPr>
      </w:pPr>
    </w:p>
    <w:p w:rsidR="00A86FA5" w:rsidRPr="00C95617" w:rsidRDefault="00A86FA5" w:rsidP="00A86FA5">
      <w:pPr>
        <w:spacing w:line="240" w:lineRule="auto"/>
        <w:rPr>
          <w:rFonts w:cs="Arial"/>
          <w:b/>
          <w:bCs/>
          <w:i/>
          <w:iCs/>
          <w:color w:val="000000"/>
          <w:sz w:val="22"/>
          <w:szCs w:val="22"/>
        </w:rPr>
      </w:pPr>
      <w:r w:rsidRPr="00C95617">
        <w:rPr>
          <w:rFonts w:cs="Arial"/>
          <w:b/>
          <w:bCs/>
          <w:i/>
          <w:iCs/>
          <w:color w:val="000000"/>
          <w:sz w:val="22"/>
          <w:szCs w:val="22"/>
        </w:rPr>
        <w:t>Argumentos de la Reclamante:</w:t>
      </w:r>
    </w:p>
    <w:p w:rsidR="00A86FA5" w:rsidRPr="00C95617" w:rsidRDefault="00A86FA5" w:rsidP="00A86FA5">
      <w:pPr>
        <w:spacing w:line="240" w:lineRule="auto"/>
        <w:rPr>
          <w:rFonts w:cs="Arial"/>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C95617">
        <w:rPr>
          <w:rFonts w:cs="Arial"/>
          <w:bCs/>
          <w:sz w:val="22"/>
          <w:szCs w:val="22"/>
        </w:rPr>
        <w:t xml:space="preserve">La reclamante denuncia que la Unidad Administrativa Especial-Dirección de Impuestos y Aduanas Nacionales de Colombia, específicamente la Dirección Seccional de Impuestos y Aduanas de Ipiales, estaría obligando y negando el despacho a consumo o levante de la importación de Cebolla Fresca para consumo humano clasificada en la </w:t>
      </w:r>
      <w:proofErr w:type="spellStart"/>
      <w:r w:rsidRPr="00C95617">
        <w:rPr>
          <w:rFonts w:cs="Arial"/>
          <w:bCs/>
          <w:sz w:val="22"/>
          <w:szCs w:val="22"/>
        </w:rPr>
        <w:t>subpartida</w:t>
      </w:r>
      <w:proofErr w:type="spellEnd"/>
      <w:r w:rsidRPr="00C95617">
        <w:rPr>
          <w:rFonts w:cs="Arial"/>
          <w:bCs/>
          <w:sz w:val="22"/>
          <w:szCs w:val="22"/>
        </w:rPr>
        <w:t xml:space="preserve"> NANDINA 07.3.10.00 originaria y procedente de la República de Ecuador, hasta tanto no se pague el 15% del valor CIF de las mercancías importadas como valor Arancel de la Nación Más Favorecida.</w:t>
      </w:r>
    </w:p>
    <w:p w:rsidR="00A86FA5" w:rsidRPr="00C95617" w:rsidRDefault="00A86FA5" w:rsidP="00A86FA5">
      <w:pPr>
        <w:pStyle w:val="Prrafodelista"/>
        <w:spacing w:line="240" w:lineRule="auto"/>
        <w:rPr>
          <w:rFonts w:cs="Arial"/>
          <w:bCs/>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C95617">
        <w:rPr>
          <w:rFonts w:cs="Arial"/>
          <w:bCs/>
          <w:sz w:val="22"/>
          <w:szCs w:val="22"/>
        </w:rPr>
        <w:t>Alega que la exigencia de este arancel se encuentra cobijada por una salvaguardia provisional a las importaciones originarias de la Comunidad Andina establecida en el Decreto 220 de 07 de octubre de 2013.</w:t>
      </w:r>
    </w:p>
    <w:p w:rsidR="00A86FA5" w:rsidRPr="00C95617" w:rsidRDefault="00A86FA5" w:rsidP="00A86FA5">
      <w:pPr>
        <w:pStyle w:val="Prrafodelista"/>
        <w:spacing w:line="240" w:lineRule="auto"/>
        <w:rPr>
          <w:rFonts w:cs="Arial"/>
          <w:bCs/>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C95617">
        <w:rPr>
          <w:rFonts w:cs="Arial"/>
          <w:bCs/>
          <w:sz w:val="22"/>
          <w:szCs w:val="22"/>
        </w:rPr>
        <w:t>Agrega que en razón a que la Secretaría General mediante Resolución 1647 suspendió los artículos 1 al 10 del Decreto 2210 de Colombia, lo que fue ratificado por la Resolución 1671, el gobierno de Colombia estaría incumpliendo  las mencionadas Resoluciones, toda vez que el único producto que quedó cubierto por la medida de salvaguardia temporal es la importación de cebolla en bulbo fresca para consumo humano  originaria y procedente de Perú.</w:t>
      </w:r>
    </w:p>
    <w:p w:rsidR="00A86FA5" w:rsidRPr="00C95617" w:rsidRDefault="00A86FA5" w:rsidP="00A86FA5">
      <w:pPr>
        <w:pStyle w:val="Prrafodelista"/>
        <w:spacing w:line="240" w:lineRule="auto"/>
        <w:rPr>
          <w:rFonts w:cs="Arial"/>
          <w:bCs/>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C95617">
        <w:rPr>
          <w:rFonts w:cs="Arial"/>
          <w:bCs/>
          <w:sz w:val="22"/>
          <w:szCs w:val="22"/>
        </w:rPr>
        <w:t>A su vez, indica, dicho producto ha sido seleccionado como una mercancía sensible y de alto riesgo al contrabando técnico por posibles omisiones de pagos de impuestos y aranceles, razón por la cual el 100% de este tipo de mercancía es seleccionada de manera obligatoria para inspección o aforo aduanero.</w:t>
      </w:r>
    </w:p>
    <w:p w:rsidR="00A86FA5" w:rsidRPr="00C95617" w:rsidRDefault="00A86FA5" w:rsidP="00A86FA5">
      <w:pPr>
        <w:pStyle w:val="Prrafodelista"/>
        <w:spacing w:line="240" w:lineRule="auto"/>
        <w:rPr>
          <w:rFonts w:cs="Arial"/>
          <w:bCs/>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C95617">
        <w:rPr>
          <w:rFonts w:cs="Arial"/>
          <w:bCs/>
          <w:sz w:val="22"/>
          <w:szCs w:val="22"/>
        </w:rPr>
        <w:t>Indica que como consecuencia de ello no se autoriza el despacho a consumo de la mercancía hasta tanto no se realice el pago del arancel correspondiente.</w:t>
      </w:r>
    </w:p>
    <w:p w:rsidR="00A86FA5" w:rsidRPr="00C95617" w:rsidRDefault="00A86FA5" w:rsidP="00A86FA5">
      <w:pPr>
        <w:pStyle w:val="Prrafodelista"/>
        <w:spacing w:line="240" w:lineRule="auto"/>
        <w:rPr>
          <w:rFonts w:cs="Arial"/>
          <w:bCs/>
          <w:sz w:val="22"/>
          <w:szCs w:val="22"/>
        </w:rPr>
      </w:pPr>
    </w:p>
    <w:p w:rsidR="00A86FA5" w:rsidRPr="00C95617" w:rsidRDefault="00A86FA5" w:rsidP="00A86FA5">
      <w:pPr>
        <w:pStyle w:val="NormalWeb"/>
        <w:spacing w:before="0" w:beforeAutospacing="0" w:after="0" w:afterAutospacing="0"/>
        <w:ind w:left="360"/>
        <w:jc w:val="both"/>
        <w:rPr>
          <w:rFonts w:ascii="Arial" w:hAnsi="Arial" w:cs="Arial"/>
          <w:b/>
          <w:bCs/>
          <w:i/>
          <w:color w:val="000000"/>
          <w:sz w:val="22"/>
          <w:szCs w:val="22"/>
        </w:rPr>
      </w:pPr>
      <w:r w:rsidRPr="00C95617">
        <w:rPr>
          <w:rFonts w:ascii="Arial" w:hAnsi="Arial" w:cs="Arial"/>
          <w:b/>
          <w:bCs/>
          <w:i/>
          <w:color w:val="000000"/>
          <w:sz w:val="22"/>
          <w:szCs w:val="22"/>
        </w:rPr>
        <w:t>Argumentos del Gobierno de Colombia:</w:t>
      </w:r>
    </w:p>
    <w:p w:rsidR="00A86FA5" w:rsidRPr="00C95617" w:rsidRDefault="00A86FA5" w:rsidP="00A86FA5">
      <w:pPr>
        <w:pStyle w:val="NormalWeb"/>
        <w:spacing w:before="0" w:beforeAutospacing="0" w:after="0" w:afterAutospacing="0"/>
        <w:ind w:left="360"/>
        <w:jc w:val="both"/>
        <w:rPr>
          <w:rFonts w:ascii="Arial" w:hAnsi="Arial" w:cs="Arial"/>
          <w:b/>
          <w:bCs/>
          <w:color w:val="000000"/>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color w:val="000000"/>
          <w:sz w:val="22"/>
          <w:szCs w:val="22"/>
        </w:rPr>
      </w:pPr>
      <w:r w:rsidRPr="00C95617">
        <w:rPr>
          <w:rFonts w:cs="Arial"/>
          <w:bCs/>
          <w:color w:val="000000"/>
          <w:sz w:val="22"/>
          <w:szCs w:val="22"/>
        </w:rPr>
        <w:t>Por su parte, el gobierno de Colombia señala lo siguiente:</w:t>
      </w:r>
    </w:p>
    <w:p w:rsidR="00A86FA5" w:rsidRPr="00C95617" w:rsidRDefault="00A86FA5" w:rsidP="00A86FA5">
      <w:pPr>
        <w:pStyle w:val="NormalWeb"/>
        <w:spacing w:before="0" w:beforeAutospacing="0" w:after="0" w:afterAutospacing="0"/>
        <w:ind w:left="360"/>
        <w:jc w:val="both"/>
        <w:rPr>
          <w:rFonts w:ascii="Arial" w:hAnsi="Arial" w:cs="Arial"/>
          <w:b/>
          <w:bCs/>
          <w:color w:val="000000"/>
          <w:sz w:val="22"/>
          <w:szCs w:val="22"/>
        </w:rPr>
      </w:pPr>
    </w:p>
    <w:p w:rsidR="00A86FA5" w:rsidRPr="00C95617" w:rsidRDefault="00A86FA5" w:rsidP="00A86FA5">
      <w:pPr>
        <w:pStyle w:val="NormalWeb"/>
        <w:spacing w:before="0" w:beforeAutospacing="0" w:after="0" w:afterAutospacing="0"/>
        <w:ind w:left="360"/>
        <w:jc w:val="both"/>
        <w:rPr>
          <w:rFonts w:ascii="Arial" w:hAnsi="Arial" w:cs="Arial"/>
          <w:bCs/>
          <w:color w:val="000000"/>
          <w:sz w:val="22"/>
          <w:szCs w:val="22"/>
        </w:rPr>
      </w:pPr>
      <w:r w:rsidRPr="00C95617">
        <w:rPr>
          <w:rFonts w:ascii="Arial" w:hAnsi="Arial" w:cs="Arial"/>
          <w:b/>
          <w:bCs/>
          <w:color w:val="000000"/>
          <w:sz w:val="22"/>
          <w:szCs w:val="22"/>
        </w:rPr>
        <w:t>A.- No se acreditó las razones por las cuales se considera que la conducta reclamada constituye un incumplimiento.-</w:t>
      </w:r>
    </w:p>
    <w:p w:rsidR="00A86FA5" w:rsidRPr="00C95617" w:rsidRDefault="00A86FA5" w:rsidP="00A86FA5">
      <w:pPr>
        <w:pStyle w:val="NormalWeb"/>
        <w:spacing w:before="0" w:beforeAutospacing="0" w:after="0" w:afterAutospacing="0"/>
        <w:ind w:left="360"/>
        <w:jc w:val="both"/>
        <w:rPr>
          <w:rFonts w:ascii="Arial" w:hAnsi="Arial" w:cs="Arial"/>
          <w:bCs/>
          <w:color w:val="000000"/>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sz w:val="22"/>
          <w:szCs w:val="22"/>
        </w:rPr>
      </w:pPr>
      <w:r w:rsidRPr="00C95617">
        <w:rPr>
          <w:rFonts w:cs="Arial"/>
          <w:sz w:val="22"/>
          <w:szCs w:val="22"/>
        </w:rPr>
        <w:t>Argumentan que se hace imposible ejercer un derecho a la defensa en tanto se desconocen las razones por las cuales el reclamante imputa a Colombia el incumplimiento del artículo 97 del Acuerdo de Cartagena, los artículos 2 y 3 de la Decisión 500 y el artículo 2 de la Resolución 1647. En tanto que:</w:t>
      </w:r>
    </w:p>
    <w:p w:rsidR="00A86FA5" w:rsidRPr="00C95617" w:rsidRDefault="00A86FA5" w:rsidP="00A86FA5">
      <w:pPr>
        <w:pStyle w:val="NormalWeb"/>
        <w:numPr>
          <w:ilvl w:val="0"/>
          <w:numId w:val="17"/>
        </w:numPr>
        <w:spacing w:before="0" w:beforeAutospacing="0" w:after="0" w:afterAutospacing="0"/>
        <w:jc w:val="both"/>
        <w:rPr>
          <w:rFonts w:ascii="Arial" w:hAnsi="Arial" w:cs="Arial"/>
          <w:bCs/>
          <w:color w:val="000000"/>
          <w:sz w:val="22"/>
          <w:szCs w:val="22"/>
        </w:rPr>
      </w:pPr>
      <w:r w:rsidRPr="00C95617">
        <w:rPr>
          <w:rFonts w:ascii="Arial" w:hAnsi="Arial" w:cs="Arial"/>
          <w:bCs/>
          <w:color w:val="000000"/>
          <w:sz w:val="22"/>
          <w:szCs w:val="22"/>
        </w:rPr>
        <w:t xml:space="preserve">Se dio cumplimiento al procedimiento del artículo 97 del Acuerdo de Cartagena; </w:t>
      </w:r>
    </w:p>
    <w:p w:rsidR="00A86FA5" w:rsidRPr="00C95617" w:rsidRDefault="00A86FA5" w:rsidP="00A86FA5">
      <w:pPr>
        <w:pStyle w:val="NormalWeb"/>
        <w:numPr>
          <w:ilvl w:val="0"/>
          <w:numId w:val="17"/>
        </w:numPr>
        <w:spacing w:before="0" w:beforeAutospacing="0" w:after="0" w:afterAutospacing="0"/>
        <w:jc w:val="both"/>
        <w:rPr>
          <w:rFonts w:ascii="Arial" w:hAnsi="Arial" w:cs="Arial"/>
          <w:bCs/>
          <w:color w:val="000000"/>
          <w:sz w:val="22"/>
          <w:szCs w:val="22"/>
        </w:rPr>
      </w:pPr>
      <w:r w:rsidRPr="00C95617">
        <w:rPr>
          <w:rFonts w:ascii="Arial" w:hAnsi="Arial" w:cs="Arial"/>
          <w:bCs/>
          <w:color w:val="000000"/>
          <w:sz w:val="22"/>
          <w:szCs w:val="22"/>
        </w:rPr>
        <w:t>No se encuentra obligación directa en los artículos 2 y 3 de la Decisión 500; y,</w:t>
      </w:r>
    </w:p>
    <w:p w:rsidR="00A86FA5" w:rsidRPr="00C95617" w:rsidRDefault="00A86FA5" w:rsidP="00A86FA5">
      <w:pPr>
        <w:pStyle w:val="NormalWeb"/>
        <w:numPr>
          <w:ilvl w:val="0"/>
          <w:numId w:val="17"/>
        </w:numPr>
        <w:spacing w:before="0" w:beforeAutospacing="0" w:after="0" w:afterAutospacing="0"/>
        <w:jc w:val="both"/>
        <w:rPr>
          <w:rFonts w:ascii="Arial" w:hAnsi="Arial" w:cs="Arial"/>
          <w:bCs/>
          <w:color w:val="000000"/>
          <w:sz w:val="22"/>
          <w:szCs w:val="22"/>
        </w:rPr>
      </w:pPr>
      <w:r w:rsidRPr="00C95617">
        <w:rPr>
          <w:rFonts w:ascii="Arial" w:hAnsi="Arial" w:cs="Arial"/>
          <w:bCs/>
          <w:color w:val="000000"/>
          <w:sz w:val="22"/>
          <w:szCs w:val="22"/>
        </w:rPr>
        <w:t>El artículo 2 de la Resolución 1647 de la Secretaría General hace referencia a productos originarios de otro País Miembro que no es Ecuador.</w:t>
      </w:r>
    </w:p>
    <w:p w:rsidR="00A86FA5" w:rsidRDefault="00A86FA5" w:rsidP="00A86FA5">
      <w:pPr>
        <w:pStyle w:val="Prrafodelista"/>
        <w:tabs>
          <w:tab w:val="left" w:pos="425"/>
        </w:tabs>
        <w:spacing w:line="240" w:lineRule="auto"/>
        <w:ind w:left="425"/>
        <w:rPr>
          <w:rFonts w:cs="Arial"/>
          <w:bCs/>
          <w:sz w:val="22"/>
          <w:szCs w:val="22"/>
        </w:rPr>
      </w:pPr>
    </w:p>
    <w:p w:rsidR="007B3BF9" w:rsidRDefault="007B3BF9" w:rsidP="00A86FA5">
      <w:pPr>
        <w:pStyle w:val="Prrafodelista"/>
        <w:tabs>
          <w:tab w:val="left" w:pos="425"/>
        </w:tabs>
        <w:spacing w:line="240" w:lineRule="auto"/>
        <w:ind w:left="425"/>
        <w:rPr>
          <w:rFonts w:cs="Arial"/>
          <w:bCs/>
          <w:sz w:val="22"/>
          <w:szCs w:val="22"/>
        </w:rPr>
      </w:pPr>
    </w:p>
    <w:p w:rsidR="00A86FA5" w:rsidRPr="00C95617" w:rsidRDefault="00A86FA5" w:rsidP="00A86FA5">
      <w:pPr>
        <w:pStyle w:val="NormalWeb"/>
        <w:spacing w:before="0" w:beforeAutospacing="0" w:after="0" w:afterAutospacing="0"/>
        <w:ind w:left="360"/>
        <w:jc w:val="both"/>
        <w:rPr>
          <w:rFonts w:ascii="Arial" w:hAnsi="Arial" w:cs="Arial"/>
          <w:b/>
          <w:bCs/>
          <w:color w:val="000000"/>
          <w:sz w:val="22"/>
          <w:szCs w:val="22"/>
        </w:rPr>
      </w:pPr>
      <w:r w:rsidRPr="00C95617">
        <w:rPr>
          <w:rFonts w:ascii="Arial" w:hAnsi="Arial" w:cs="Arial"/>
          <w:b/>
          <w:bCs/>
          <w:color w:val="000000"/>
          <w:sz w:val="22"/>
          <w:szCs w:val="22"/>
        </w:rPr>
        <w:lastRenderedPageBreak/>
        <w:t>B.- Sobre el Fondo del Reclamo.-</w:t>
      </w:r>
    </w:p>
    <w:p w:rsidR="00A86FA5" w:rsidRPr="00C95617" w:rsidRDefault="00A86FA5" w:rsidP="00A86FA5">
      <w:pPr>
        <w:pStyle w:val="NormalWeb"/>
        <w:spacing w:before="0" w:beforeAutospacing="0" w:after="0" w:afterAutospacing="0"/>
        <w:ind w:left="360"/>
        <w:jc w:val="both"/>
        <w:rPr>
          <w:rFonts w:ascii="Arial" w:hAnsi="Arial" w:cs="Arial"/>
          <w:bCs/>
          <w:color w:val="000000"/>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C95617">
        <w:rPr>
          <w:rFonts w:cs="Arial"/>
          <w:bCs/>
          <w:sz w:val="22"/>
          <w:szCs w:val="22"/>
        </w:rPr>
        <w:t xml:space="preserve">Señala el precitado gobierno que no se puede alegar incumplimiento del artículo 1 de la Resolución 1647 de la Secretaría General, así como del artículo 4 del Tratado de Creación del Tribunal de Justicia de la Comunidad Andina, por cuanto las importaciones que no son originarias de países que gozan de tratamiento arancelario preferencial en Colombia están sujetas al cobro de aranceles NMF, el cual requiere cumplir con un procedimiento que se encuentra reglamentado. </w:t>
      </w:r>
    </w:p>
    <w:p w:rsidR="00A86FA5" w:rsidRPr="00C95617" w:rsidRDefault="00A86FA5" w:rsidP="00A86FA5">
      <w:pPr>
        <w:pStyle w:val="Prrafodelista"/>
        <w:spacing w:line="240" w:lineRule="auto"/>
        <w:rPr>
          <w:rFonts w:cs="Arial"/>
          <w:bCs/>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C95617">
        <w:rPr>
          <w:rFonts w:cs="Arial"/>
          <w:bCs/>
          <w:sz w:val="22"/>
          <w:szCs w:val="22"/>
        </w:rPr>
        <w:t>Agrega que de todas las importaciones realizadas, se puede verificar que no se ha diligenciado la casilla 67  de la declaración de importación, en la que se debe incluir el acuerdo comercial que aplique (en el caso de Acuerdo de Cartagena corresponde el código 001), a fin de que la aduana pueda establecer y otorgar alguna preferencia arancelaria.</w:t>
      </w:r>
    </w:p>
    <w:p w:rsidR="00A86FA5" w:rsidRPr="00C95617" w:rsidRDefault="00A86FA5" w:rsidP="00A86FA5">
      <w:pPr>
        <w:pStyle w:val="Prrafodelista"/>
        <w:spacing w:line="240" w:lineRule="auto"/>
        <w:rPr>
          <w:rFonts w:cs="Arial"/>
          <w:bCs/>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C95617">
        <w:rPr>
          <w:rFonts w:cs="Arial"/>
          <w:bCs/>
          <w:sz w:val="22"/>
          <w:szCs w:val="22"/>
        </w:rPr>
        <w:t xml:space="preserve">Indica en esa línea que los reclamantes que deseaban importar cebolla originaria de Ecuador, no sólo debían declarar que ese era el país de origen de la misma, sino que era necesario indicar debidamente el código del acuerdo o convenio comercial en virtud del cual solicitaría el tratamiento arancelario preferencial para dichas importaciones. </w:t>
      </w:r>
    </w:p>
    <w:p w:rsidR="00A86FA5" w:rsidRPr="00C95617" w:rsidRDefault="00A86FA5" w:rsidP="00A86FA5">
      <w:pPr>
        <w:pStyle w:val="Prrafodelista"/>
        <w:spacing w:line="240" w:lineRule="auto"/>
        <w:rPr>
          <w:rFonts w:cs="Arial"/>
          <w:bCs/>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C95617">
        <w:rPr>
          <w:rFonts w:cs="Arial"/>
          <w:bCs/>
          <w:sz w:val="22"/>
          <w:szCs w:val="22"/>
        </w:rPr>
        <w:t xml:space="preserve">Ante esta situación, el caso se ha calificado como de “acto propio”. </w:t>
      </w:r>
    </w:p>
    <w:p w:rsidR="00A86FA5" w:rsidRPr="00C95617" w:rsidRDefault="00A86FA5" w:rsidP="00A86FA5">
      <w:pPr>
        <w:pStyle w:val="Prrafodelista"/>
        <w:spacing w:line="240" w:lineRule="auto"/>
        <w:rPr>
          <w:rFonts w:cs="Arial"/>
          <w:bCs/>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C95617">
        <w:rPr>
          <w:rFonts w:cs="Arial"/>
          <w:bCs/>
          <w:sz w:val="22"/>
          <w:szCs w:val="22"/>
        </w:rPr>
        <w:t>Finalmente indica que el hecho de adoptar medidas para la prevención del contrabando no es un acto contrario al artículo 1 de la Resolución 1647 y se enmarca en lo previsto en la Decisión 728 y que los reclamantes no han probado que los inspectores de aduanas  o aforadores se abstengan de autorizar el despacho a consumo de la mercaderías hasta tanto se realice el pago del arancel NMF correspondiente al 15% del valor de la mercancía.</w:t>
      </w:r>
    </w:p>
    <w:p w:rsidR="00A86FA5" w:rsidRPr="00C95617" w:rsidRDefault="00A86FA5" w:rsidP="00A86FA5">
      <w:pPr>
        <w:pStyle w:val="Prrafodelista"/>
        <w:spacing w:line="240" w:lineRule="auto"/>
        <w:ind w:left="1080"/>
        <w:rPr>
          <w:rFonts w:cs="Arial"/>
          <w:b/>
          <w:bCs/>
          <w:color w:val="000000"/>
          <w:sz w:val="22"/>
          <w:szCs w:val="22"/>
        </w:rPr>
      </w:pPr>
    </w:p>
    <w:p w:rsidR="00A86FA5" w:rsidRPr="00C95617" w:rsidRDefault="00A86FA5" w:rsidP="00A86FA5">
      <w:pPr>
        <w:pStyle w:val="Prrafodelista"/>
        <w:widowControl/>
        <w:numPr>
          <w:ilvl w:val="0"/>
          <w:numId w:val="18"/>
        </w:numPr>
        <w:adjustRightInd/>
        <w:spacing w:line="240" w:lineRule="auto"/>
        <w:rPr>
          <w:rFonts w:cs="Arial"/>
          <w:b/>
          <w:bCs/>
          <w:color w:val="000000"/>
          <w:sz w:val="22"/>
          <w:szCs w:val="22"/>
        </w:rPr>
      </w:pPr>
      <w:r w:rsidRPr="00C95617">
        <w:rPr>
          <w:rFonts w:cs="Arial"/>
          <w:b/>
          <w:bCs/>
          <w:color w:val="000000"/>
          <w:sz w:val="22"/>
          <w:szCs w:val="22"/>
        </w:rPr>
        <w:t>EXPOSICIÓN DE LOS MOTIVOS DE LA SECRETARÍA GENERAL SOBRE EL ESTADO DE CUMPLIMIENTO DE LAS OBLIGACIONES COMUNITARIAS.-</w:t>
      </w:r>
    </w:p>
    <w:p w:rsidR="00A86FA5" w:rsidRPr="00C95617" w:rsidRDefault="00A86FA5" w:rsidP="00A86FA5">
      <w:pPr>
        <w:pStyle w:val="Prrafodelista"/>
        <w:spacing w:line="240" w:lineRule="auto"/>
        <w:ind w:left="1080"/>
        <w:rPr>
          <w:rFonts w:cs="Arial"/>
          <w:b/>
          <w:bCs/>
          <w:color w:val="000000"/>
          <w:sz w:val="22"/>
          <w:szCs w:val="22"/>
        </w:rPr>
      </w:pPr>
    </w:p>
    <w:p w:rsidR="00A86FA5" w:rsidRPr="00C95617" w:rsidRDefault="00A86FA5" w:rsidP="00A86FA5">
      <w:pPr>
        <w:pStyle w:val="Prrafodelista"/>
        <w:spacing w:line="240" w:lineRule="auto"/>
        <w:rPr>
          <w:rFonts w:cs="Arial"/>
          <w:sz w:val="22"/>
          <w:szCs w:val="22"/>
        </w:rPr>
      </w:pPr>
      <w:r w:rsidRPr="00C95617">
        <w:rPr>
          <w:rFonts w:cs="Arial"/>
          <w:b/>
          <w:bCs/>
          <w:color w:val="000000"/>
          <w:sz w:val="22"/>
          <w:szCs w:val="22"/>
        </w:rPr>
        <w:t>A.- Sobre las cuestiones de procedimiento.-</w:t>
      </w:r>
    </w:p>
    <w:p w:rsidR="00A86FA5" w:rsidRPr="00C95617" w:rsidRDefault="00A86FA5" w:rsidP="00A86FA5">
      <w:pPr>
        <w:pStyle w:val="Prrafodelista"/>
        <w:spacing w:line="240" w:lineRule="auto"/>
        <w:rPr>
          <w:rFonts w:cs="Arial"/>
          <w:bCs/>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C95617">
        <w:rPr>
          <w:rFonts w:cs="Arial"/>
          <w:bCs/>
          <w:sz w:val="22"/>
          <w:szCs w:val="22"/>
        </w:rPr>
        <w:t>El gobierno de Colombia alega que la reclamación no cumple con el literal e) del artículo 14 de la Decisión 623. Revisado el procedimiento seguido se aprecia que la admisibilidad es un acto de cotejo formal del cumplimiento de los requisitos señalados en el indicado artículo, no correspondiendo a dicha fase la evaluación de los méritos o grado de substanciación de lo alegado, examen que corresponde m</w:t>
      </w:r>
      <w:r>
        <w:rPr>
          <w:rFonts w:cs="Arial"/>
          <w:bCs/>
        </w:rPr>
        <w:t>á</w:t>
      </w:r>
      <w:r w:rsidRPr="00C95617">
        <w:rPr>
          <w:rFonts w:cs="Arial"/>
          <w:bCs/>
          <w:sz w:val="22"/>
          <w:szCs w:val="22"/>
        </w:rPr>
        <w:t>s bien a la fase de fondo, so pena de adelantar opinión.</w:t>
      </w:r>
    </w:p>
    <w:p w:rsidR="00A86FA5" w:rsidRPr="00C95617" w:rsidRDefault="00A86FA5" w:rsidP="00A86FA5">
      <w:pPr>
        <w:pStyle w:val="Prrafodelista"/>
        <w:spacing w:line="240" w:lineRule="auto"/>
        <w:ind w:left="-12"/>
        <w:rPr>
          <w:rFonts w:cs="Arial"/>
          <w:bCs/>
          <w:sz w:val="22"/>
          <w:szCs w:val="22"/>
        </w:rPr>
      </w:pPr>
    </w:p>
    <w:p w:rsidR="00A86FA5" w:rsidRPr="002F5835" w:rsidRDefault="00A86FA5" w:rsidP="00A86FA5">
      <w:pPr>
        <w:pStyle w:val="Prrafodelista"/>
        <w:widowControl/>
        <w:numPr>
          <w:ilvl w:val="0"/>
          <w:numId w:val="16"/>
        </w:numPr>
        <w:adjustRightInd/>
        <w:spacing w:line="240" w:lineRule="auto"/>
        <w:ind w:left="-12" w:hanging="357"/>
        <w:textAlignment w:val="auto"/>
        <w:rPr>
          <w:rFonts w:eastAsiaTheme="minorEastAsia" w:cs="Arial"/>
          <w:bCs/>
          <w:sz w:val="22"/>
          <w:szCs w:val="22"/>
          <w:lang w:eastAsia="es-BO"/>
        </w:rPr>
      </w:pPr>
      <w:r w:rsidRPr="00C95617">
        <w:rPr>
          <w:rFonts w:cs="Arial"/>
          <w:bCs/>
          <w:sz w:val="22"/>
          <w:szCs w:val="22"/>
        </w:rPr>
        <w:t>En el presente caso, se aprecia que los reclamantes expresaron sus pretensiones y motivos en el escrito correspondiente, de manera tal que es posible entenderla y se resumen de la manera siguiente:</w:t>
      </w:r>
    </w:p>
    <w:p w:rsidR="00A86FA5" w:rsidRPr="00C95617" w:rsidRDefault="00A86FA5" w:rsidP="00A86FA5">
      <w:pPr>
        <w:pStyle w:val="Prrafodelista"/>
        <w:spacing w:line="240" w:lineRule="auto"/>
        <w:rPr>
          <w:rFonts w:eastAsiaTheme="minorHAnsi" w:cs="Arial"/>
          <w:bCs/>
          <w:sz w:val="22"/>
          <w:szCs w:val="22"/>
          <w:lang w:eastAsia="en-US"/>
        </w:rPr>
      </w:pPr>
    </w:p>
    <w:p w:rsidR="00A86FA5" w:rsidRPr="00C95617" w:rsidRDefault="00A86FA5" w:rsidP="00A86FA5">
      <w:pPr>
        <w:pStyle w:val="Prrafodelista"/>
        <w:widowControl/>
        <w:numPr>
          <w:ilvl w:val="0"/>
          <w:numId w:val="17"/>
        </w:numPr>
        <w:adjustRightInd/>
        <w:spacing w:line="240" w:lineRule="auto"/>
        <w:textAlignment w:val="auto"/>
        <w:rPr>
          <w:rFonts w:eastAsiaTheme="minorHAnsi" w:cs="Arial"/>
          <w:bCs/>
          <w:sz w:val="22"/>
          <w:szCs w:val="22"/>
          <w:lang w:eastAsia="en-US"/>
        </w:rPr>
      </w:pPr>
      <w:r w:rsidRPr="00C95617">
        <w:rPr>
          <w:rFonts w:cs="Arial"/>
          <w:bCs/>
          <w:sz w:val="22"/>
          <w:szCs w:val="22"/>
        </w:rPr>
        <w:t>a) La Dirección Seccional de Aduanas de Ipiales, está obligando y negando el despacho a consumo o levante de este tipo de mercaderías originarias y procedentes de Ecuador hasta tanto no se pague el 15% del valor CIF; contraria a la Resolución 1647 y 1671 de la Secretaría General, las mismas que suspenden la aplicación del Decreto 2210</w:t>
      </w:r>
      <w:r w:rsidRPr="00C95617">
        <w:rPr>
          <w:rFonts w:eastAsiaTheme="minorHAnsi" w:cs="Arial"/>
          <w:bCs/>
          <w:sz w:val="22"/>
          <w:szCs w:val="22"/>
          <w:lang w:eastAsia="en-US"/>
        </w:rPr>
        <w:t>.</w:t>
      </w:r>
    </w:p>
    <w:p w:rsidR="00A86FA5" w:rsidRPr="00C95617" w:rsidRDefault="00A86FA5" w:rsidP="00A86FA5">
      <w:pPr>
        <w:pStyle w:val="Prrafodelista"/>
        <w:spacing w:line="240" w:lineRule="auto"/>
        <w:rPr>
          <w:rFonts w:cs="Arial"/>
          <w:bCs/>
          <w:sz w:val="22"/>
          <w:szCs w:val="22"/>
        </w:rPr>
      </w:pPr>
    </w:p>
    <w:p w:rsidR="00A86FA5" w:rsidRPr="00C95617" w:rsidRDefault="00A86FA5" w:rsidP="00A86FA5">
      <w:pPr>
        <w:pStyle w:val="Prrafodelista"/>
        <w:widowControl/>
        <w:numPr>
          <w:ilvl w:val="0"/>
          <w:numId w:val="17"/>
        </w:numPr>
        <w:adjustRightInd/>
        <w:spacing w:line="240" w:lineRule="auto"/>
        <w:textAlignment w:val="auto"/>
        <w:rPr>
          <w:rFonts w:eastAsiaTheme="minorHAnsi" w:cs="Arial"/>
          <w:bCs/>
          <w:sz w:val="22"/>
          <w:szCs w:val="22"/>
          <w:lang w:eastAsia="en-US"/>
        </w:rPr>
      </w:pPr>
      <w:r w:rsidRPr="00C95617">
        <w:rPr>
          <w:rFonts w:cs="Arial"/>
          <w:bCs/>
          <w:sz w:val="22"/>
          <w:szCs w:val="22"/>
        </w:rPr>
        <w:t>b) Los inspectores de aduanas o aforados se abstienen de autorizar le despacho a consumo de la mercadería hasta tanto no se realice el pago del arancel NMF correspondiente al 15% del valor de la mercadería.</w:t>
      </w:r>
    </w:p>
    <w:p w:rsidR="00A86FA5" w:rsidRPr="00C95617" w:rsidRDefault="00A86FA5" w:rsidP="00A86FA5">
      <w:pPr>
        <w:pStyle w:val="Prrafodelista"/>
        <w:spacing w:line="240" w:lineRule="auto"/>
        <w:rPr>
          <w:rFonts w:eastAsiaTheme="minorHAnsi" w:cs="Arial"/>
          <w:bCs/>
          <w:sz w:val="22"/>
          <w:szCs w:val="22"/>
          <w:lang w:eastAsia="en-US"/>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eastAsiaTheme="minorHAnsi" w:cs="Arial"/>
          <w:bCs/>
          <w:sz w:val="22"/>
          <w:szCs w:val="22"/>
          <w:lang w:eastAsia="en-US"/>
        </w:rPr>
      </w:pPr>
      <w:r w:rsidRPr="00C95617">
        <w:rPr>
          <w:rFonts w:eastAsiaTheme="minorHAnsi" w:cs="Arial"/>
          <w:bCs/>
          <w:sz w:val="22"/>
          <w:szCs w:val="22"/>
          <w:lang w:eastAsia="en-US"/>
        </w:rPr>
        <w:t>En tal virtud se debe desestimar el alegato formulado por el gobierno de Colombia.</w:t>
      </w:r>
    </w:p>
    <w:p w:rsidR="00A86FA5" w:rsidRPr="00C95617" w:rsidRDefault="00A86FA5" w:rsidP="00A86FA5">
      <w:pPr>
        <w:pStyle w:val="Prrafodelista"/>
        <w:spacing w:line="240" w:lineRule="auto"/>
        <w:rPr>
          <w:rFonts w:cs="Arial"/>
          <w:bCs/>
          <w:sz w:val="22"/>
          <w:szCs w:val="22"/>
        </w:rPr>
      </w:pPr>
    </w:p>
    <w:p w:rsidR="00A86FA5" w:rsidRPr="00C95617" w:rsidRDefault="00A86FA5" w:rsidP="00A86FA5">
      <w:pPr>
        <w:pStyle w:val="NormalWeb"/>
        <w:spacing w:before="0" w:beforeAutospacing="0" w:after="0" w:afterAutospacing="0"/>
        <w:ind w:left="360"/>
        <w:jc w:val="both"/>
        <w:rPr>
          <w:rFonts w:ascii="Arial" w:hAnsi="Arial" w:cs="Arial"/>
          <w:b/>
          <w:bCs/>
          <w:color w:val="000000"/>
          <w:sz w:val="22"/>
          <w:szCs w:val="22"/>
        </w:rPr>
      </w:pPr>
      <w:r w:rsidRPr="00C95617">
        <w:rPr>
          <w:rFonts w:ascii="Arial" w:hAnsi="Arial" w:cs="Arial"/>
          <w:b/>
          <w:bCs/>
          <w:color w:val="000000"/>
          <w:sz w:val="22"/>
          <w:szCs w:val="22"/>
        </w:rPr>
        <w:lastRenderedPageBreak/>
        <w:t>B.- Sobre la cuestión de Fondo:</w:t>
      </w:r>
    </w:p>
    <w:p w:rsidR="00A86FA5" w:rsidRPr="00C95617" w:rsidRDefault="00A86FA5" w:rsidP="00A86FA5">
      <w:pPr>
        <w:pStyle w:val="NormalWeb"/>
        <w:spacing w:before="0" w:beforeAutospacing="0" w:after="0" w:afterAutospacing="0"/>
        <w:ind w:left="360"/>
        <w:jc w:val="both"/>
        <w:rPr>
          <w:rFonts w:ascii="Arial" w:hAnsi="Arial" w:cs="Arial"/>
          <w:b/>
          <w:bCs/>
          <w:color w:val="000000"/>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C95617">
        <w:rPr>
          <w:rFonts w:cs="Arial"/>
          <w:bCs/>
          <w:sz w:val="22"/>
          <w:szCs w:val="22"/>
        </w:rPr>
        <w:t xml:space="preserve">Se aprecia de la documentación presentada que los reclamantes no llenaron la casilla 36 en sus respectivas declaraciones de importación, formalidad que </w:t>
      </w:r>
      <w:r w:rsidRPr="00C95617">
        <w:rPr>
          <w:rFonts w:cs="Arial"/>
          <w:bCs/>
          <w:i/>
          <w:sz w:val="22"/>
          <w:szCs w:val="22"/>
        </w:rPr>
        <w:t>prima facie</w:t>
      </w:r>
      <w:r w:rsidRPr="00C95617">
        <w:rPr>
          <w:rFonts w:cs="Arial"/>
          <w:bCs/>
          <w:sz w:val="22"/>
          <w:szCs w:val="22"/>
        </w:rPr>
        <w:t>, no permitió a los oficiales de aduana a disponer el tratamiento arancelario preferencial.</w:t>
      </w:r>
    </w:p>
    <w:p w:rsidR="00A86FA5" w:rsidRPr="00C95617" w:rsidRDefault="00A86FA5" w:rsidP="00A86FA5">
      <w:pPr>
        <w:pStyle w:val="Prrafodelista"/>
        <w:spacing w:line="240" w:lineRule="auto"/>
        <w:rPr>
          <w:rFonts w:cs="Arial"/>
          <w:bCs/>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C95617">
        <w:rPr>
          <w:rFonts w:cs="Arial"/>
          <w:bCs/>
          <w:sz w:val="22"/>
          <w:szCs w:val="22"/>
        </w:rPr>
        <w:t xml:space="preserve">Según señala la Dirección de Comercio de la Secretaría General en su informe técnico N° SG-NI/DG1/017/2015 del 10 de febrero del 2015, el incumplimiento de formalidades es un acto subsanable pero sujeto al cumplimiento de determinados procedimientos dispuestos en la legislación interna. En tal sentido </w:t>
      </w:r>
      <w:r w:rsidRPr="002F5835">
        <w:rPr>
          <w:rFonts w:cs="Arial"/>
          <w:bCs/>
          <w:sz w:val="22"/>
          <w:szCs w:val="22"/>
        </w:rPr>
        <w:t>“las aduanas no rectifican de oficio los errores u omisiones de los declarantes cuando éstos tengan incidencia tributaria, como en el caso de análisis, debiendo proceder los usuarios a utilizar los procedimientos antes mencionados.”</w:t>
      </w:r>
      <w:r w:rsidRPr="00C95617">
        <w:rPr>
          <w:rFonts w:cs="Arial"/>
          <w:bCs/>
          <w:sz w:val="22"/>
          <w:szCs w:val="22"/>
        </w:rPr>
        <w:t xml:space="preserve"> </w:t>
      </w:r>
    </w:p>
    <w:p w:rsidR="00A86FA5" w:rsidRPr="00C95617" w:rsidRDefault="00A86FA5" w:rsidP="00A86FA5">
      <w:pPr>
        <w:pStyle w:val="Prrafodelista"/>
        <w:spacing w:line="240" w:lineRule="auto"/>
        <w:ind w:left="-12"/>
        <w:rPr>
          <w:rFonts w:cs="Arial"/>
          <w:bCs/>
          <w:sz w:val="22"/>
          <w:szCs w:val="22"/>
        </w:rPr>
      </w:pPr>
    </w:p>
    <w:p w:rsidR="00A86FA5" w:rsidRPr="002F5835"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2F5835">
        <w:rPr>
          <w:rFonts w:cs="Arial"/>
          <w:bCs/>
          <w:sz w:val="22"/>
          <w:szCs w:val="22"/>
        </w:rPr>
        <w:t>Por su parte, la Decisión 671 - Armonización de Regímenes Aduaneros</w:t>
      </w:r>
      <w:r>
        <w:rPr>
          <w:rFonts w:cs="Arial"/>
          <w:bCs/>
        </w:rPr>
        <w:t xml:space="preserve"> </w:t>
      </w:r>
      <w:r w:rsidRPr="002F5835">
        <w:rPr>
          <w:rFonts w:cs="Arial"/>
          <w:bCs/>
          <w:sz w:val="22"/>
          <w:szCs w:val="22"/>
        </w:rPr>
        <w:t xml:space="preserve">normativa comunitaria, en el artículo 21 dispone: </w:t>
      </w:r>
    </w:p>
    <w:p w:rsidR="00A86FA5" w:rsidRPr="00C95617" w:rsidRDefault="00A86FA5" w:rsidP="00A86FA5">
      <w:pPr>
        <w:pStyle w:val="Prrafodelista"/>
        <w:spacing w:line="240" w:lineRule="auto"/>
        <w:ind w:left="1416"/>
        <w:rPr>
          <w:rFonts w:cs="Arial"/>
          <w:bCs/>
          <w:i/>
          <w:color w:val="000000"/>
          <w:sz w:val="22"/>
          <w:szCs w:val="22"/>
        </w:rPr>
      </w:pPr>
    </w:p>
    <w:p w:rsidR="00A86FA5" w:rsidRPr="00C95617" w:rsidRDefault="00A86FA5" w:rsidP="00A86FA5">
      <w:pPr>
        <w:pStyle w:val="Prrafodelista"/>
        <w:spacing w:line="240" w:lineRule="auto"/>
        <w:ind w:left="1416"/>
        <w:rPr>
          <w:rFonts w:cs="Arial"/>
          <w:bCs/>
          <w:i/>
          <w:color w:val="000000"/>
          <w:sz w:val="22"/>
          <w:szCs w:val="22"/>
        </w:rPr>
      </w:pPr>
      <w:r w:rsidRPr="00C95617">
        <w:rPr>
          <w:rFonts w:cs="Arial"/>
          <w:bCs/>
          <w:i/>
          <w:color w:val="000000"/>
          <w:sz w:val="22"/>
          <w:szCs w:val="22"/>
        </w:rPr>
        <w:t xml:space="preserve">“Artículo21.- Contenido de la declaración de las mercancías: </w:t>
      </w:r>
    </w:p>
    <w:p w:rsidR="00A86FA5" w:rsidRPr="00C95617" w:rsidRDefault="00A86FA5" w:rsidP="00A86FA5">
      <w:pPr>
        <w:pStyle w:val="Prrafodelista"/>
        <w:spacing w:line="240" w:lineRule="auto"/>
        <w:ind w:left="1416"/>
        <w:rPr>
          <w:rFonts w:cs="Arial"/>
          <w:bCs/>
          <w:color w:val="000000"/>
          <w:sz w:val="22"/>
          <w:szCs w:val="22"/>
        </w:rPr>
      </w:pPr>
      <w:r w:rsidRPr="00C95617">
        <w:rPr>
          <w:rFonts w:cs="Arial"/>
          <w:bCs/>
          <w:i/>
          <w:color w:val="000000"/>
          <w:sz w:val="22"/>
          <w:szCs w:val="22"/>
        </w:rPr>
        <w:t xml:space="preserve">La declaración aduanera de mercancías contendrá la información necesaria para la identificación de las mercancías, la determinación y cobro de los derechos e impuestos, tasas y recargos exigidos, la aplicación de los regímenes aduaneros declarados, la elaboración de las estadísticas, </w:t>
      </w:r>
      <w:r w:rsidRPr="00C95617">
        <w:rPr>
          <w:rFonts w:cs="Arial"/>
          <w:bCs/>
          <w:i/>
          <w:color w:val="000000"/>
          <w:sz w:val="22"/>
          <w:szCs w:val="22"/>
          <w:u w:val="single"/>
        </w:rPr>
        <w:t>la totalidad de los datos y requisitos exigidos de acuerdo con el régimen aduanero solicitado y la normativa de cada País Miembro.</w:t>
      </w:r>
      <w:r w:rsidRPr="00C95617">
        <w:rPr>
          <w:rFonts w:cs="Arial"/>
          <w:bCs/>
          <w:i/>
          <w:color w:val="000000"/>
          <w:sz w:val="22"/>
          <w:szCs w:val="22"/>
        </w:rPr>
        <w:t xml:space="preserve">” </w:t>
      </w:r>
      <w:r w:rsidRPr="00C95617">
        <w:rPr>
          <w:rFonts w:cs="Arial"/>
          <w:bCs/>
          <w:color w:val="000000"/>
          <w:sz w:val="22"/>
          <w:szCs w:val="22"/>
        </w:rPr>
        <w:t>(Subrayado fuera de texto)</w:t>
      </w:r>
    </w:p>
    <w:p w:rsidR="00A86FA5" w:rsidRPr="00C95617" w:rsidRDefault="00A86FA5" w:rsidP="00A86FA5">
      <w:pPr>
        <w:pStyle w:val="Prrafodelista"/>
        <w:spacing w:line="240" w:lineRule="auto"/>
        <w:ind w:left="1416"/>
        <w:rPr>
          <w:rFonts w:cs="Arial"/>
          <w:bCs/>
          <w:i/>
          <w:color w:val="000000"/>
          <w:sz w:val="22"/>
          <w:szCs w:val="22"/>
        </w:rPr>
      </w:pPr>
    </w:p>
    <w:p w:rsidR="00A86FA5" w:rsidRPr="00C95617" w:rsidRDefault="00A86FA5" w:rsidP="00A86FA5">
      <w:pPr>
        <w:pStyle w:val="Prrafodelista"/>
        <w:widowControl/>
        <w:numPr>
          <w:ilvl w:val="0"/>
          <w:numId w:val="16"/>
        </w:numPr>
        <w:adjustRightInd/>
        <w:spacing w:line="240" w:lineRule="auto"/>
        <w:ind w:left="-12" w:hanging="357"/>
        <w:textAlignment w:val="auto"/>
        <w:rPr>
          <w:rFonts w:cs="Arial"/>
          <w:color w:val="000000"/>
          <w:sz w:val="22"/>
          <w:szCs w:val="22"/>
        </w:rPr>
      </w:pPr>
      <w:r w:rsidRPr="00C95617">
        <w:rPr>
          <w:rFonts w:cs="Arial"/>
          <w:bCs/>
          <w:sz w:val="22"/>
          <w:szCs w:val="22"/>
        </w:rPr>
        <w:t>A su turno, el anexo I de la Decisión 670 – Adopción del Documento Único Aduanero (DUA), contiene la casilla 46, en donde se debe consignar el Código para la preferencia arancelaria conforme al Anexo II de la misma Decisión:</w:t>
      </w:r>
    </w:p>
    <w:p w:rsidR="00A86FA5" w:rsidRPr="00C95617" w:rsidRDefault="00A86FA5" w:rsidP="00A86FA5">
      <w:pPr>
        <w:pStyle w:val="Prrafodelista"/>
        <w:autoSpaceDE w:val="0"/>
        <w:autoSpaceDN w:val="0"/>
        <w:spacing w:line="240" w:lineRule="auto"/>
        <w:ind w:left="360"/>
        <w:rPr>
          <w:rFonts w:cs="Arial"/>
          <w:color w:val="000000"/>
          <w:sz w:val="22"/>
          <w:szCs w:val="22"/>
        </w:rPr>
      </w:pPr>
    </w:p>
    <w:p w:rsidR="00A86FA5" w:rsidRPr="00C95617" w:rsidRDefault="00A86FA5" w:rsidP="00A86FA5">
      <w:pPr>
        <w:pStyle w:val="Prrafodelista"/>
        <w:autoSpaceDE w:val="0"/>
        <w:autoSpaceDN w:val="0"/>
        <w:spacing w:line="240" w:lineRule="auto"/>
        <w:ind w:left="708"/>
        <w:rPr>
          <w:rFonts w:cs="Arial"/>
          <w:bCs/>
          <w:i/>
          <w:color w:val="000000"/>
          <w:sz w:val="22"/>
          <w:szCs w:val="22"/>
        </w:rPr>
      </w:pPr>
      <w:r w:rsidRPr="00C95617">
        <w:rPr>
          <w:rFonts w:cs="Arial"/>
          <w:i/>
          <w:color w:val="000000"/>
          <w:sz w:val="22"/>
          <w:szCs w:val="22"/>
        </w:rPr>
        <w:t>“</w:t>
      </w:r>
      <w:r w:rsidRPr="00C95617">
        <w:rPr>
          <w:rFonts w:cs="Arial"/>
          <w:bCs/>
          <w:i/>
          <w:color w:val="000000"/>
          <w:sz w:val="22"/>
          <w:szCs w:val="22"/>
        </w:rPr>
        <w:t>Código nacional en virtud del cual se declara un tratamiento arancelario preferencial, aplicable cuando la mercadería está sujeta a una desgravación arancelaria, establecida en un acuerdo o convenio económico o comercial de carácter comunitario o internacional.</w:t>
      </w:r>
    </w:p>
    <w:p w:rsidR="00A86FA5" w:rsidRPr="00C95617" w:rsidRDefault="00A86FA5" w:rsidP="00A86FA5">
      <w:pPr>
        <w:pStyle w:val="Prrafodelista"/>
        <w:autoSpaceDE w:val="0"/>
        <w:autoSpaceDN w:val="0"/>
        <w:spacing w:line="240" w:lineRule="auto"/>
        <w:ind w:left="708"/>
        <w:rPr>
          <w:rFonts w:cs="Arial"/>
          <w:bCs/>
          <w:i/>
          <w:color w:val="000000"/>
          <w:sz w:val="22"/>
          <w:szCs w:val="22"/>
        </w:rPr>
      </w:pPr>
      <w:r w:rsidRPr="00C95617">
        <w:rPr>
          <w:rFonts w:cs="Arial"/>
          <w:bCs/>
          <w:i/>
          <w:color w:val="000000"/>
          <w:sz w:val="22"/>
          <w:szCs w:val="22"/>
        </w:rPr>
        <w:t>En caso de exportación se registra el código de la preferencia arancelaria que se espera alcanzar en el país de destino, con la codificación utilizada en el país de exportación.”</w:t>
      </w:r>
    </w:p>
    <w:p w:rsidR="00A86FA5" w:rsidRPr="00C95617" w:rsidRDefault="00A86FA5" w:rsidP="00A86FA5">
      <w:pPr>
        <w:pStyle w:val="Prrafodelista"/>
        <w:autoSpaceDE w:val="0"/>
        <w:autoSpaceDN w:val="0"/>
        <w:spacing w:line="240" w:lineRule="auto"/>
        <w:rPr>
          <w:rFonts w:cs="Arial"/>
          <w:bCs/>
          <w:color w:val="000000"/>
          <w:sz w:val="22"/>
          <w:szCs w:val="22"/>
        </w:rPr>
      </w:pPr>
    </w:p>
    <w:p w:rsidR="00A86FA5" w:rsidRPr="002F5835" w:rsidRDefault="00A86FA5" w:rsidP="00A86FA5">
      <w:pPr>
        <w:pStyle w:val="Prrafodelista"/>
        <w:widowControl/>
        <w:numPr>
          <w:ilvl w:val="0"/>
          <w:numId w:val="16"/>
        </w:numPr>
        <w:adjustRightInd/>
        <w:spacing w:line="240" w:lineRule="auto"/>
        <w:ind w:left="-12" w:hanging="357"/>
        <w:textAlignment w:val="auto"/>
        <w:rPr>
          <w:rFonts w:eastAsiaTheme="minorEastAsia" w:cs="Arial"/>
          <w:bCs/>
          <w:sz w:val="22"/>
          <w:szCs w:val="22"/>
          <w:lang w:eastAsia="es-BO"/>
        </w:rPr>
      </w:pPr>
      <w:r w:rsidRPr="002F5835">
        <w:rPr>
          <w:rFonts w:eastAsiaTheme="minorEastAsia" w:cs="Arial"/>
          <w:bCs/>
          <w:sz w:val="22"/>
          <w:szCs w:val="22"/>
          <w:lang w:eastAsia="es-BO"/>
        </w:rPr>
        <w:t>Por su parte, el Anexo III de la misma Decisión establece que tratándose de importaciones para el consumo, este requisito es opcional; lo que significa que la regulación de cada País Miembro, dispone o no su exigencia.</w:t>
      </w:r>
    </w:p>
    <w:p w:rsidR="00A86FA5" w:rsidRPr="002F5835" w:rsidRDefault="00A86FA5" w:rsidP="00A86FA5">
      <w:pPr>
        <w:pStyle w:val="Prrafodelista"/>
        <w:adjustRightInd/>
        <w:spacing w:line="240" w:lineRule="auto"/>
        <w:ind w:left="-12"/>
        <w:rPr>
          <w:rFonts w:eastAsiaTheme="minorEastAsia" w:cs="Arial"/>
          <w:bCs/>
          <w:sz w:val="22"/>
          <w:szCs w:val="22"/>
          <w:lang w:eastAsia="es-BO"/>
        </w:rPr>
      </w:pPr>
    </w:p>
    <w:p w:rsidR="00A86FA5" w:rsidRPr="002F5835" w:rsidRDefault="00A86FA5" w:rsidP="00A86FA5">
      <w:pPr>
        <w:pStyle w:val="Prrafodelista"/>
        <w:widowControl/>
        <w:numPr>
          <w:ilvl w:val="0"/>
          <w:numId w:val="16"/>
        </w:numPr>
        <w:adjustRightInd/>
        <w:spacing w:line="240" w:lineRule="auto"/>
        <w:ind w:left="-12" w:hanging="357"/>
        <w:textAlignment w:val="auto"/>
        <w:rPr>
          <w:rFonts w:eastAsiaTheme="minorEastAsia" w:cs="Arial"/>
          <w:bCs/>
          <w:sz w:val="22"/>
          <w:szCs w:val="22"/>
          <w:lang w:eastAsia="es-BO"/>
        </w:rPr>
      </w:pPr>
      <w:r w:rsidRPr="002F5835">
        <w:rPr>
          <w:rFonts w:eastAsiaTheme="minorEastAsia" w:cs="Arial"/>
          <w:bCs/>
          <w:sz w:val="22"/>
          <w:szCs w:val="22"/>
          <w:lang w:eastAsia="es-BO"/>
        </w:rPr>
        <w:t>A su turno, la Declaración de Importación emitida por la Dirección de Impuestos y Aduanas Nacionales de Colombia establece que el Código Acuerdo es aquél por el cual el importador declara un tratamiento preferencial, teniendo en cuenta la Tabla N° 8 del mismo documento.</w:t>
      </w:r>
    </w:p>
    <w:p w:rsidR="00A86FA5" w:rsidRPr="002F5835" w:rsidRDefault="00A86FA5" w:rsidP="00A86FA5">
      <w:pPr>
        <w:pStyle w:val="Prrafodelista"/>
        <w:spacing w:line="240" w:lineRule="auto"/>
        <w:ind w:left="-12"/>
        <w:rPr>
          <w:rFonts w:eastAsiaTheme="minorEastAsia" w:cs="Arial"/>
          <w:bCs/>
          <w:sz w:val="22"/>
          <w:szCs w:val="22"/>
          <w:lang w:eastAsia="es-BO"/>
        </w:rPr>
      </w:pPr>
    </w:p>
    <w:p w:rsidR="00A86FA5" w:rsidRPr="002F5835" w:rsidRDefault="00A86FA5" w:rsidP="00A86FA5">
      <w:pPr>
        <w:pStyle w:val="Prrafodelista"/>
        <w:widowControl/>
        <w:numPr>
          <w:ilvl w:val="0"/>
          <w:numId w:val="16"/>
        </w:numPr>
        <w:adjustRightInd/>
        <w:spacing w:line="240" w:lineRule="auto"/>
        <w:ind w:left="-12" w:hanging="357"/>
        <w:textAlignment w:val="auto"/>
        <w:rPr>
          <w:rFonts w:eastAsiaTheme="minorEastAsia" w:cs="Arial"/>
          <w:bCs/>
          <w:sz w:val="22"/>
          <w:szCs w:val="22"/>
          <w:lang w:eastAsia="es-BO"/>
        </w:rPr>
      </w:pPr>
      <w:r w:rsidRPr="002F5835">
        <w:rPr>
          <w:rFonts w:eastAsiaTheme="minorEastAsia" w:cs="Arial"/>
          <w:bCs/>
          <w:sz w:val="22"/>
          <w:szCs w:val="22"/>
          <w:lang w:eastAsia="es-BO"/>
        </w:rPr>
        <w:t>Finalmente, el literal d) del artículo 4 de la Decisión 778 faculta a las autoridades aduaneras a ejercer acciones de control aduanero, así:</w:t>
      </w:r>
    </w:p>
    <w:p w:rsidR="00A86FA5" w:rsidRPr="00C95617" w:rsidRDefault="00A86FA5" w:rsidP="00A86FA5">
      <w:pPr>
        <w:pStyle w:val="Prrafodelista"/>
        <w:autoSpaceDE w:val="0"/>
        <w:autoSpaceDN w:val="0"/>
        <w:spacing w:line="240" w:lineRule="auto"/>
        <w:rPr>
          <w:rFonts w:cs="Arial"/>
          <w:bCs/>
          <w:color w:val="000000"/>
          <w:sz w:val="22"/>
          <w:szCs w:val="22"/>
        </w:rPr>
      </w:pPr>
    </w:p>
    <w:p w:rsidR="00A86FA5" w:rsidRPr="00C95617" w:rsidRDefault="00A86FA5" w:rsidP="00A86FA5">
      <w:pPr>
        <w:pStyle w:val="NormalWeb"/>
        <w:tabs>
          <w:tab w:val="left" w:pos="851"/>
        </w:tabs>
        <w:spacing w:before="0" w:beforeAutospacing="0" w:after="0" w:afterAutospacing="0"/>
        <w:ind w:left="1416"/>
        <w:jc w:val="both"/>
        <w:rPr>
          <w:rFonts w:ascii="Arial" w:hAnsi="Arial" w:cs="Arial"/>
          <w:bCs/>
          <w:color w:val="000000"/>
          <w:sz w:val="22"/>
          <w:szCs w:val="22"/>
        </w:rPr>
      </w:pPr>
      <w:r w:rsidRPr="00C95617">
        <w:rPr>
          <w:rFonts w:ascii="Arial" w:hAnsi="Arial" w:cs="Arial"/>
          <w:bCs/>
          <w:i/>
          <w:color w:val="000000"/>
          <w:sz w:val="22"/>
          <w:szCs w:val="22"/>
        </w:rPr>
        <w:t xml:space="preserve">“Ordenar mediante acto administrativo el registro, </w:t>
      </w:r>
      <w:r w:rsidRPr="00C95617">
        <w:rPr>
          <w:rFonts w:ascii="Arial" w:hAnsi="Arial" w:cs="Arial"/>
          <w:bCs/>
          <w:i/>
          <w:color w:val="000000"/>
          <w:sz w:val="22"/>
          <w:szCs w:val="22"/>
          <w:u w:val="single"/>
        </w:rPr>
        <w:t>inspección</w:t>
      </w:r>
      <w:r w:rsidRPr="00C95617">
        <w:rPr>
          <w:rFonts w:ascii="Arial" w:hAnsi="Arial" w:cs="Arial"/>
          <w:bCs/>
          <w:i/>
          <w:color w:val="000000"/>
          <w:sz w:val="22"/>
          <w:szCs w:val="22"/>
        </w:rPr>
        <w:t xml:space="preserve"> o visita de las oficinas, establecimientos comerciales, industriales o de servicios y demás locales, vehículos y medios de transporte del importador, exportador, propietario, tenedor de la mercancía, transportador, depositario, intermediario, declarante o usuario, terceros depositarios de los documentos contables o archivos de los sujetos antes mencionados, o terceros intervinientes en la </w:t>
      </w:r>
      <w:r w:rsidRPr="00C95617">
        <w:rPr>
          <w:rFonts w:ascii="Arial" w:hAnsi="Arial" w:cs="Arial"/>
          <w:bCs/>
          <w:i/>
          <w:color w:val="000000"/>
          <w:sz w:val="22"/>
          <w:szCs w:val="22"/>
        </w:rPr>
        <w:lastRenderedPageBreak/>
        <w:t xml:space="preserve">operación aduanera, siempre que no coincida con su casa de habitación, en el caso de personas naturales…” </w:t>
      </w:r>
      <w:r w:rsidRPr="00C95617">
        <w:rPr>
          <w:rFonts w:ascii="Arial" w:hAnsi="Arial" w:cs="Arial"/>
          <w:bCs/>
          <w:color w:val="000000"/>
          <w:sz w:val="22"/>
          <w:szCs w:val="22"/>
        </w:rPr>
        <w:t>(Subrayado fuera de texto)</w:t>
      </w:r>
    </w:p>
    <w:p w:rsidR="00A86FA5" w:rsidRPr="00C95617" w:rsidRDefault="00A86FA5" w:rsidP="00A86FA5">
      <w:pPr>
        <w:pStyle w:val="Prrafodelista"/>
        <w:spacing w:line="240" w:lineRule="auto"/>
        <w:rPr>
          <w:rFonts w:cs="Arial"/>
          <w:bCs/>
          <w:color w:val="000000"/>
          <w:sz w:val="22"/>
          <w:szCs w:val="22"/>
        </w:rPr>
      </w:pPr>
    </w:p>
    <w:p w:rsidR="00A86FA5" w:rsidRPr="002F5835" w:rsidRDefault="00A86FA5" w:rsidP="00A86FA5">
      <w:pPr>
        <w:pStyle w:val="Prrafodelista"/>
        <w:widowControl/>
        <w:numPr>
          <w:ilvl w:val="0"/>
          <w:numId w:val="16"/>
        </w:numPr>
        <w:adjustRightInd/>
        <w:spacing w:line="240" w:lineRule="auto"/>
        <w:ind w:left="-12" w:hanging="357"/>
        <w:textAlignment w:val="auto"/>
        <w:rPr>
          <w:rFonts w:eastAsiaTheme="minorEastAsia" w:cs="Arial"/>
          <w:bCs/>
          <w:sz w:val="22"/>
          <w:szCs w:val="22"/>
          <w:lang w:eastAsia="es-BO"/>
        </w:rPr>
      </w:pPr>
      <w:r w:rsidRPr="002F5835">
        <w:rPr>
          <w:rFonts w:eastAsiaTheme="minorEastAsia" w:cs="Arial"/>
          <w:bCs/>
          <w:sz w:val="22"/>
          <w:szCs w:val="22"/>
          <w:lang w:eastAsia="es-BO"/>
        </w:rPr>
        <w:t>Se puede determinar por lo expuesto que la conducta de la Dirección Sectorial de Aduanas de la ciudad de Ipiales es conforme al derecho comunitario andino, siendo que la exigencia del llenado de la casilla en sí mismo no se puede considerar una restricción injustificada pues no tiene por objeto ni efecto dificultar, menoscabar o impedir el comercio, subregional, sino que ayuda a identificar  el tratamiento preferencial de los bienes originarios de la subregión.</w:t>
      </w:r>
    </w:p>
    <w:p w:rsidR="00A86FA5" w:rsidRPr="002F5835" w:rsidRDefault="00A86FA5" w:rsidP="00A86FA5">
      <w:pPr>
        <w:pStyle w:val="Prrafodelista"/>
        <w:spacing w:line="240" w:lineRule="auto"/>
        <w:ind w:left="-12"/>
        <w:rPr>
          <w:rFonts w:eastAsiaTheme="minorEastAsia" w:cs="Arial"/>
          <w:bCs/>
          <w:sz w:val="22"/>
          <w:szCs w:val="22"/>
          <w:lang w:eastAsia="es-BO"/>
        </w:rPr>
      </w:pPr>
      <w:bookmarkStart w:id="3" w:name="_GoBack"/>
      <w:bookmarkEnd w:id="3"/>
    </w:p>
    <w:p w:rsidR="00A86FA5" w:rsidRPr="002F5835" w:rsidRDefault="00A86FA5" w:rsidP="00A86FA5">
      <w:pPr>
        <w:pStyle w:val="Prrafodelista"/>
        <w:widowControl/>
        <w:numPr>
          <w:ilvl w:val="0"/>
          <w:numId w:val="16"/>
        </w:numPr>
        <w:adjustRightInd/>
        <w:spacing w:line="240" w:lineRule="auto"/>
        <w:ind w:left="-12" w:hanging="357"/>
        <w:textAlignment w:val="auto"/>
        <w:rPr>
          <w:rFonts w:eastAsiaTheme="minorEastAsia" w:cs="Arial"/>
          <w:bCs/>
          <w:sz w:val="22"/>
          <w:szCs w:val="22"/>
          <w:lang w:eastAsia="es-BO"/>
        </w:rPr>
      </w:pPr>
      <w:r w:rsidRPr="002F5835">
        <w:rPr>
          <w:rFonts w:eastAsiaTheme="minorEastAsia" w:cs="Arial"/>
          <w:bCs/>
          <w:sz w:val="22"/>
          <w:szCs w:val="22"/>
          <w:lang w:eastAsia="es-BO"/>
        </w:rPr>
        <w:t>Se considera asimismo que su omisión constituye un requisito subsanable, no habiéndose demostrado en el presente caso haberse seguido tal procedimiento de subsanación, no obstante lo cual, subsistió la negativa.</w:t>
      </w:r>
    </w:p>
    <w:p w:rsidR="00A86FA5" w:rsidRPr="002F5835" w:rsidRDefault="00A86FA5" w:rsidP="00A86FA5">
      <w:pPr>
        <w:pStyle w:val="Prrafodelista"/>
        <w:spacing w:line="240" w:lineRule="auto"/>
        <w:ind w:left="-12"/>
        <w:rPr>
          <w:rFonts w:eastAsiaTheme="minorEastAsia" w:cs="Arial"/>
          <w:bCs/>
          <w:sz w:val="22"/>
          <w:szCs w:val="22"/>
          <w:lang w:eastAsia="es-BO"/>
        </w:rPr>
      </w:pPr>
    </w:p>
    <w:p w:rsidR="00A86FA5" w:rsidRPr="002F5835" w:rsidRDefault="00A86FA5" w:rsidP="00A86FA5">
      <w:pPr>
        <w:pStyle w:val="Prrafodelista"/>
        <w:widowControl/>
        <w:numPr>
          <w:ilvl w:val="0"/>
          <w:numId w:val="16"/>
        </w:numPr>
        <w:adjustRightInd/>
        <w:spacing w:line="240" w:lineRule="auto"/>
        <w:ind w:left="-12" w:hanging="357"/>
        <w:textAlignment w:val="auto"/>
        <w:rPr>
          <w:rFonts w:eastAsiaTheme="minorEastAsia" w:cs="Arial"/>
          <w:bCs/>
          <w:sz w:val="22"/>
          <w:szCs w:val="22"/>
          <w:lang w:eastAsia="es-BO"/>
        </w:rPr>
      </w:pPr>
      <w:r w:rsidRPr="002F5835">
        <w:rPr>
          <w:rFonts w:eastAsiaTheme="minorEastAsia" w:cs="Arial"/>
          <w:bCs/>
          <w:sz w:val="22"/>
          <w:szCs w:val="22"/>
          <w:lang w:eastAsia="es-BO"/>
        </w:rPr>
        <w:t>En ese orden de ideas, el alegato del gobierno de Colombia en el sentido que nadie puede alegar el acto propio como causal eximente de responsabilidad, es fundado.</w:t>
      </w:r>
    </w:p>
    <w:p w:rsidR="00A86FA5" w:rsidRPr="002F5835" w:rsidRDefault="00A86FA5" w:rsidP="00A86FA5">
      <w:pPr>
        <w:pStyle w:val="Prrafodelista"/>
        <w:spacing w:line="240" w:lineRule="auto"/>
        <w:ind w:left="-12"/>
        <w:rPr>
          <w:rFonts w:eastAsiaTheme="minorEastAsia" w:cs="Arial"/>
          <w:bCs/>
          <w:sz w:val="22"/>
          <w:szCs w:val="22"/>
          <w:lang w:eastAsia="es-BO"/>
        </w:rPr>
      </w:pPr>
    </w:p>
    <w:p w:rsidR="00A86FA5" w:rsidRPr="00C95617" w:rsidRDefault="00A86FA5" w:rsidP="00A86FA5">
      <w:pPr>
        <w:spacing w:line="240" w:lineRule="auto"/>
        <w:rPr>
          <w:rFonts w:cs="Arial"/>
          <w:b/>
          <w:bCs/>
          <w:color w:val="000000"/>
          <w:sz w:val="22"/>
          <w:szCs w:val="22"/>
        </w:rPr>
      </w:pPr>
      <w:r w:rsidRPr="00C95617">
        <w:rPr>
          <w:rFonts w:cs="Arial"/>
          <w:b/>
          <w:bCs/>
          <w:color w:val="000000"/>
          <w:sz w:val="22"/>
          <w:szCs w:val="22"/>
        </w:rPr>
        <w:t>Otros argumentos del Gobierno de Colombia.-</w:t>
      </w:r>
    </w:p>
    <w:p w:rsidR="00A86FA5" w:rsidRPr="002F5835"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2F5835">
        <w:rPr>
          <w:rFonts w:cs="Arial"/>
          <w:bCs/>
          <w:sz w:val="22"/>
          <w:szCs w:val="22"/>
        </w:rPr>
        <w:t xml:space="preserve">El gobierno de Colombia alega que no es posible discernir los fundamentos de derecho alegados por los reclamantes siendo que los mismos o bien son improcedentes o bien no resultan aplicables. </w:t>
      </w:r>
    </w:p>
    <w:p w:rsidR="00A86FA5" w:rsidRPr="002F5835" w:rsidRDefault="00A86FA5" w:rsidP="00A86FA5">
      <w:pPr>
        <w:pStyle w:val="Prrafodelista"/>
        <w:spacing w:line="240" w:lineRule="auto"/>
        <w:ind w:left="-12"/>
        <w:rPr>
          <w:rFonts w:cs="Arial"/>
          <w:bCs/>
        </w:rPr>
      </w:pPr>
    </w:p>
    <w:p w:rsidR="00A86FA5" w:rsidRPr="002F5835"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2F5835">
        <w:rPr>
          <w:rFonts w:cs="Arial"/>
          <w:bCs/>
          <w:sz w:val="22"/>
          <w:szCs w:val="22"/>
        </w:rPr>
        <w:t>Se debe concurrir con este alegato, pues si bien los reclamantes, a nuestro juicio describen con claridad el acto o conducta que en su opinión constituye un incumplimiento al ordenamiento comunitario, no presentan la misma claridad en cuanto a la pertinencia del derecho alegado.</w:t>
      </w:r>
    </w:p>
    <w:p w:rsidR="00A86FA5" w:rsidRPr="002F5835" w:rsidRDefault="00A86FA5" w:rsidP="00A86FA5">
      <w:pPr>
        <w:pStyle w:val="Prrafodelista"/>
        <w:spacing w:line="240" w:lineRule="auto"/>
        <w:ind w:left="-12"/>
        <w:rPr>
          <w:rFonts w:cs="Arial"/>
          <w:bCs/>
        </w:rPr>
      </w:pPr>
    </w:p>
    <w:p w:rsidR="00A86FA5" w:rsidRPr="002F5835" w:rsidRDefault="00A86FA5" w:rsidP="00A86FA5">
      <w:pPr>
        <w:pStyle w:val="Prrafodelista"/>
        <w:widowControl/>
        <w:numPr>
          <w:ilvl w:val="0"/>
          <w:numId w:val="16"/>
        </w:numPr>
        <w:adjustRightInd/>
        <w:spacing w:line="240" w:lineRule="auto"/>
        <w:ind w:left="-12" w:hanging="357"/>
        <w:textAlignment w:val="auto"/>
        <w:rPr>
          <w:rFonts w:cs="Arial"/>
          <w:bCs/>
          <w:sz w:val="22"/>
          <w:szCs w:val="22"/>
        </w:rPr>
      </w:pPr>
      <w:r w:rsidRPr="002F5835">
        <w:rPr>
          <w:rFonts w:cs="Arial"/>
          <w:bCs/>
          <w:sz w:val="22"/>
          <w:szCs w:val="22"/>
        </w:rPr>
        <w:t xml:space="preserve">En tal virtud asiste razón al gobierno de Colombia en señalar que los artículos las Resoluciones 1647 y 1671 son aplicables a una situación distinta de la alegada, no siendo aplicable por el mismo motivo, el artículo 97 del Acuerdo de Cartagena. </w:t>
      </w:r>
    </w:p>
    <w:p w:rsidR="00A86FA5" w:rsidRPr="00C95617" w:rsidRDefault="00A86FA5" w:rsidP="00A86FA5">
      <w:pPr>
        <w:pStyle w:val="NormalWeb"/>
        <w:tabs>
          <w:tab w:val="left" w:pos="851"/>
        </w:tabs>
        <w:spacing w:before="0" w:beforeAutospacing="0" w:after="0" w:afterAutospacing="0"/>
        <w:ind w:left="1416"/>
        <w:jc w:val="both"/>
        <w:rPr>
          <w:rFonts w:ascii="Arial" w:hAnsi="Arial" w:cs="Arial"/>
          <w:bCs/>
          <w:i/>
          <w:color w:val="000000"/>
          <w:sz w:val="22"/>
          <w:szCs w:val="22"/>
        </w:rPr>
      </w:pPr>
    </w:p>
    <w:p w:rsidR="00A86FA5" w:rsidRPr="00C95617" w:rsidRDefault="00A86FA5" w:rsidP="00A86FA5">
      <w:pPr>
        <w:pStyle w:val="Prrafodelista"/>
        <w:autoSpaceDE w:val="0"/>
        <w:autoSpaceDN w:val="0"/>
        <w:spacing w:line="240" w:lineRule="auto"/>
        <w:rPr>
          <w:rFonts w:cs="Arial"/>
          <w:bCs/>
          <w:color w:val="000000"/>
          <w:sz w:val="22"/>
          <w:szCs w:val="22"/>
        </w:rPr>
      </w:pPr>
    </w:p>
    <w:p w:rsidR="00A86FA5" w:rsidRPr="00C95617" w:rsidRDefault="00A86FA5" w:rsidP="00A86FA5">
      <w:pPr>
        <w:spacing w:line="240" w:lineRule="auto"/>
        <w:rPr>
          <w:rFonts w:cs="Arial"/>
          <w:b/>
          <w:bCs/>
          <w:color w:val="000000"/>
          <w:sz w:val="22"/>
          <w:szCs w:val="22"/>
        </w:rPr>
      </w:pPr>
      <w:r w:rsidRPr="00C95617">
        <w:rPr>
          <w:rFonts w:cs="Arial"/>
          <w:b/>
          <w:bCs/>
          <w:color w:val="000000"/>
          <w:sz w:val="22"/>
          <w:szCs w:val="22"/>
        </w:rPr>
        <w:t>VII. CONCLUSIÓN.-</w:t>
      </w:r>
    </w:p>
    <w:p w:rsidR="00A86FA5" w:rsidRPr="00C95617" w:rsidRDefault="00A86FA5" w:rsidP="00A86FA5">
      <w:pPr>
        <w:spacing w:line="240" w:lineRule="auto"/>
        <w:rPr>
          <w:rFonts w:cs="Arial"/>
          <w:b/>
          <w:bCs/>
          <w:color w:val="000000"/>
          <w:sz w:val="22"/>
          <w:szCs w:val="22"/>
        </w:rPr>
      </w:pPr>
    </w:p>
    <w:p w:rsidR="000C77EA" w:rsidRPr="00C1033D" w:rsidRDefault="00A86FA5" w:rsidP="00C1033D">
      <w:pPr>
        <w:pStyle w:val="Prrafodelista"/>
        <w:widowControl/>
        <w:numPr>
          <w:ilvl w:val="0"/>
          <w:numId w:val="16"/>
        </w:numPr>
        <w:adjustRightInd/>
        <w:spacing w:line="240" w:lineRule="auto"/>
        <w:ind w:left="-12" w:hanging="357"/>
        <w:textAlignment w:val="auto"/>
        <w:rPr>
          <w:rFonts w:cs="Arial"/>
          <w:b/>
          <w:sz w:val="22"/>
          <w:szCs w:val="22"/>
        </w:rPr>
      </w:pPr>
      <w:r w:rsidRPr="00C1033D">
        <w:rPr>
          <w:rFonts w:cs="Arial"/>
          <w:bCs/>
          <w:color w:val="000000"/>
          <w:sz w:val="22"/>
          <w:szCs w:val="22"/>
        </w:rPr>
        <w:t>Con base en las consideraciones expuestas, la información suministrada por las partes y la documentación que obra en el expediente, se considera que las empresas reclamantes no han demostrado que la Dirección Sectorial de Aduanas de la ciudad de Ipiales de la República de Colombia, al no otorgar tratamiento arancelario preferencial haya incurrido en un incumplimiento de lo dispuesto en los artículos 1 y 2 del al Resolución 1647 y artículo único de la Resolución 1671</w:t>
      </w:r>
      <w:r w:rsidR="00C1033D">
        <w:rPr>
          <w:rFonts w:cs="Arial"/>
          <w:bCs/>
          <w:color w:val="000000"/>
          <w:sz w:val="22"/>
          <w:szCs w:val="22"/>
        </w:rPr>
        <w:t>.</w:t>
      </w:r>
    </w:p>
    <w:p w:rsidR="00C1033D" w:rsidRDefault="00C1033D" w:rsidP="00C1033D">
      <w:pPr>
        <w:widowControl/>
        <w:adjustRightInd/>
        <w:spacing w:line="240" w:lineRule="auto"/>
        <w:textAlignment w:val="auto"/>
        <w:rPr>
          <w:rFonts w:cs="Arial"/>
          <w:b/>
          <w:sz w:val="22"/>
          <w:szCs w:val="22"/>
        </w:rPr>
      </w:pPr>
    </w:p>
    <w:p w:rsidR="00C1033D" w:rsidRDefault="00C1033D" w:rsidP="00C1033D">
      <w:pPr>
        <w:pStyle w:val="Prrafodelista"/>
        <w:widowControl/>
        <w:numPr>
          <w:ilvl w:val="0"/>
          <w:numId w:val="16"/>
        </w:numPr>
        <w:adjustRightInd/>
        <w:spacing w:line="240" w:lineRule="auto"/>
        <w:ind w:left="-12" w:hanging="357"/>
        <w:textAlignment w:val="auto"/>
        <w:rPr>
          <w:rFonts w:cs="Arial"/>
          <w:sz w:val="22"/>
          <w:szCs w:val="22"/>
        </w:rPr>
      </w:pPr>
      <w:r w:rsidRPr="00C1033D">
        <w:rPr>
          <w:rFonts w:cs="Arial"/>
          <w:sz w:val="22"/>
          <w:szCs w:val="22"/>
        </w:rPr>
        <w:t xml:space="preserve">Se dispone </w:t>
      </w:r>
      <w:r>
        <w:rPr>
          <w:rFonts w:cs="Arial"/>
          <w:sz w:val="22"/>
          <w:szCs w:val="22"/>
        </w:rPr>
        <w:t xml:space="preserve">en consecuencia, </w:t>
      </w:r>
      <w:r w:rsidRPr="00C1033D">
        <w:rPr>
          <w:rFonts w:cs="Arial"/>
          <w:sz w:val="22"/>
          <w:szCs w:val="22"/>
        </w:rPr>
        <w:t>el archivo del expediente</w:t>
      </w:r>
      <w:r w:rsidR="00717B5B">
        <w:rPr>
          <w:rFonts w:cs="Arial"/>
          <w:sz w:val="22"/>
          <w:szCs w:val="22"/>
        </w:rPr>
        <w:t>.</w:t>
      </w:r>
    </w:p>
    <w:p w:rsidR="00717B5B" w:rsidRPr="00717B5B" w:rsidRDefault="00717B5B" w:rsidP="00717B5B">
      <w:pPr>
        <w:pStyle w:val="Prrafodelista"/>
        <w:rPr>
          <w:rFonts w:cs="Arial"/>
          <w:sz w:val="22"/>
          <w:szCs w:val="22"/>
        </w:rPr>
      </w:pPr>
    </w:p>
    <w:p w:rsidR="00717B5B" w:rsidRDefault="00717B5B" w:rsidP="00717B5B">
      <w:pPr>
        <w:widowControl/>
        <w:adjustRightInd/>
        <w:spacing w:line="240" w:lineRule="auto"/>
        <w:textAlignment w:val="auto"/>
        <w:rPr>
          <w:rFonts w:cs="Arial"/>
          <w:sz w:val="22"/>
          <w:szCs w:val="22"/>
        </w:rPr>
      </w:pPr>
    </w:p>
    <w:p w:rsidR="00B70319" w:rsidRDefault="00B70319" w:rsidP="00717B5B">
      <w:pPr>
        <w:widowControl/>
        <w:adjustRightInd/>
        <w:spacing w:line="240" w:lineRule="auto"/>
        <w:textAlignment w:val="auto"/>
        <w:rPr>
          <w:rFonts w:cs="Arial"/>
          <w:sz w:val="22"/>
          <w:szCs w:val="22"/>
        </w:rPr>
      </w:pPr>
    </w:p>
    <w:p w:rsidR="00B70319" w:rsidRDefault="00B70319" w:rsidP="00717B5B">
      <w:pPr>
        <w:widowControl/>
        <w:adjustRightInd/>
        <w:spacing w:line="240" w:lineRule="auto"/>
        <w:textAlignment w:val="auto"/>
        <w:rPr>
          <w:rFonts w:cs="Arial"/>
          <w:sz w:val="22"/>
          <w:szCs w:val="22"/>
        </w:rPr>
      </w:pPr>
    </w:p>
    <w:p w:rsidR="00B76FBC" w:rsidRDefault="00B76FBC" w:rsidP="00B76FBC">
      <w:pPr>
        <w:widowControl/>
        <w:spacing w:line="240" w:lineRule="auto"/>
        <w:jc w:val="center"/>
        <w:rPr>
          <w:rFonts w:cs="Arial"/>
          <w:bCs/>
          <w:sz w:val="22"/>
          <w:szCs w:val="22"/>
        </w:rPr>
      </w:pPr>
      <w:r>
        <w:rPr>
          <w:rFonts w:cs="Arial"/>
          <w:bCs/>
          <w:sz w:val="22"/>
          <w:szCs w:val="22"/>
        </w:rPr>
        <w:t xml:space="preserve">Pablo Guzmán </w:t>
      </w:r>
      <w:proofErr w:type="spellStart"/>
      <w:r>
        <w:rPr>
          <w:rFonts w:cs="Arial"/>
          <w:bCs/>
          <w:sz w:val="22"/>
          <w:szCs w:val="22"/>
        </w:rPr>
        <w:t>Laugier</w:t>
      </w:r>
      <w:proofErr w:type="spellEnd"/>
    </w:p>
    <w:p w:rsidR="00B76FBC" w:rsidRPr="00302970" w:rsidRDefault="00B76FBC" w:rsidP="00B76FBC">
      <w:pPr>
        <w:widowControl/>
        <w:spacing w:line="240" w:lineRule="auto"/>
        <w:jc w:val="center"/>
        <w:rPr>
          <w:rFonts w:cs="Arial"/>
          <w:b/>
          <w:bCs/>
          <w:sz w:val="20"/>
        </w:rPr>
      </w:pPr>
      <w:r w:rsidRPr="00302970">
        <w:rPr>
          <w:rFonts w:cs="Arial"/>
          <w:b/>
          <w:bCs/>
          <w:sz w:val="20"/>
        </w:rPr>
        <w:t>Secretario General</w:t>
      </w:r>
    </w:p>
    <w:p w:rsidR="00B76FBC" w:rsidRPr="00A808D5" w:rsidRDefault="00B76FBC" w:rsidP="00B76FBC">
      <w:pPr>
        <w:widowControl/>
        <w:spacing w:line="240" w:lineRule="auto"/>
        <w:rPr>
          <w:rFonts w:cs="Arial"/>
          <w:sz w:val="22"/>
          <w:szCs w:val="22"/>
        </w:rPr>
      </w:pPr>
    </w:p>
    <w:p w:rsidR="00B70319" w:rsidRDefault="00B70319" w:rsidP="00B70319">
      <w:pPr>
        <w:spacing w:line="260" w:lineRule="exact"/>
      </w:pPr>
    </w:p>
    <w:p w:rsidR="00B70319" w:rsidRPr="00BC0082" w:rsidRDefault="00B70319" w:rsidP="00B70319">
      <w:pPr>
        <w:spacing w:line="260" w:lineRule="exact"/>
      </w:pPr>
    </w:p>
    <w:p w:rsidR="00717B5B" w:rsidRPr="00717B5B" w:rsidRDefault="00717B5B" w:rsidP="00717B5B">
      <w:pPr>
        <w:widowControl/>
        <w:adjustRightInd/>
        <w:spacing w:line="240" w:lineRule="auto"/>
        <w:textAlignment w:val="auto"/>
        <w:rPr>
          <w:rFonts w:cs="Arial"/>
          <w:sz w:val="22"/>
          <w:szCs w:val="22"/>
        </w:rPr>
      </w:pPr>
    </w:p>
    <w:sectPr w:rsidR="00717B5B" w:rsidRPr="00717B5B" w:rsidSect="007B3BF9">
      <w:footerReference w:type="default" r:id="rId10"/>
      <w:headerReference w:type="first" r:id="rId11"/>
      <w:pgSz w:w="11906" w:h="16838" w:code="9"/>
      <w:pgMar w:top="1418" w:right="1134" w:bottom="1134" w:left="1701" w:header="709" w:footer="709" w:gutter="0"/>
      <w:pgNumType w:fmt="numberInDash"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72" w:rsidRDefault="00172772">
      <w:r>
        <w:separator/>
      </w:r>
    </w:p>
  </w:endnote>
  <w:endnote w:type="continuationSeparator" w:id="0">
    <w:p w:rsidR="00172772" w:rsidRDefault="0017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4870"/>
      <w:docPartObj>
        <w:docPartGallery w:val="Page Numbers (Bottom of Page)"/>
        <w:docPartUnique/>
      </w:docPartObj>
    </w:sdtPr>
    <w:sdtEndPr/>
    <w:sdtContent>
      <w:p w:rsidR="007B3BF9" w:rsidRDefault="00B76FBC">
        <w:pPr>
          <w:pStyle w:val="Piedepgina"/>
          <w:jc w:val="center"/>
        </w:pPr>
        <w:r>
          <w:fldChar w:fldCharType="begin"/>
        </w:r>
        <w:r>
          <w:instrText xml:space="preserve"> PAGE   \* MERGEFORMAT </w:instrText>
        </w:r>
        <w:r>
          <w:fldChar w:fldCharType="separate"/>
        </w:r>
        <w:r>
          <w:rPr>
            <w:noProof/>
          </w:rPr>
          <w:t>7</w:t>
        </w:r>
        <w:r>
          <w:rPr>
            <w:noProof/>
          </w:rPr>
          <w:fldChar w:fldCharType="end"/>
        </w:r>
      </w:p>
    </w:sdtContent>
  </w:sdt>
  <w:p w:rsidR="007B3BF9" w:rsidRDefault="007B3BF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72" w:rsidRDefault="00172772">
      <w:r>
        <w:separator/>
      </w:r>
    </w:p>
  </w:footnote>
  <w:footnote w:type="continuationSeparator" w:id="0">
    <w:p w:rsidR="00172772" w:rsidRDefault="001727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4868"/>
      <w:docPartObj>
        <w:docPartGallery w:val="Page Numbers (Top of Page)"/>
        <w:docPartUnique/>
      </w:docPartObj>
    </w:sdtPr>
    <w:sdtEndPr/>
    <w:sdtContent>
      <w:p w:rsidR="007B3BF9" w:rsidRDefault="00B76FBC">
        <w:pPr>
          <w:pStyle w:val="Encabezado"/>
          <w:jc w:val="center"/>
        </w:pPr>
        <w:r>
          <w:fldChar w:fldCharType="begin"/>
        </w:r>
        <w:r>
          <w:instrText xml:space="preserve"> PAGE   \* MERGEFORMAT </w:instrText>
        </w:r>
        <w:r>
          <w:fldChar w:fldCharType="separate"/>
        </w:r>
        <w:r w:rsidR="007B3BF9">
          <w:rPr>
            <w:noProof/>
          </w:rPr>
          <w:t>- 1 -</w:t>
        </w:r>
        <w:r>
          <w:rPr>
            <w:noProof/>
          </w:rPr>
          <w:fldChar w:fldCharType="end"/>
        </w:r>
      </w:p>
    </w:sdtContent>
  </w:sdt>
  <w:p w:rsidR="007B3BF9" w:rsidRDefault="007B3BF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885"/>
    <w:multiLevelType w:val="hybridMultilevel"/>
    <w:tmpl w:val="07827ABA"/>
    <w:lvl w:ilvl="0" w:tplc="546ABE06">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7613D4"/>
    <w:multiLevelType w:val="hybridMultilevel"/>
    <w:tmpl w:val="B2BC539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
    <w:nsid w:val="10F5381B"/>
    <w:multiLevelType w:val="multilevel"/>
    <w:tmpl w:val="8570A3F6"/>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27C5DB9"/>
    <w:multiLevelType w:val="hybridMultilevel"/>
    <w:tmpl w:val="A7B0A72A"/>
    <w:lvl w:ilvl="0" w:tplc="E86E6E5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6270E8A"/>
    <w:multiLevelType w:val="hybridMultilevel"/>
    <w:tmpl w:val="8FCAD600"/>
    <w:lvl w:ilvl="0" w:tplc="7A4C14F0">
      <w:numFmt w:val="bullet"/>
      <w:lvlText w:val="-"/>
      <w:lvlJc w:val="left"/>
      <w:pPr>
        <w:ind w:left="930" w:hanging="360"/>
      </w:pPr>
      <w:rPr>
        <w:rFonts w:ascii="Arial" w:eastAsia="Times New Roman" w:hAnsi="Arial" w:cs="Arial" w:hint="default"/>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5">
    <w:nsid w:val="21FE5476"/>
    <w:multiLevelType w:val="hybridMultilevel"/>
    <w:tmpl w:val="E4F672D4"/>
    <w:lvl w:ilvl="0" w:tplc="AECEA33C">
      <w:start w:val="1"/>
      <w:numFmt w:val="decimal"/>
      <w:lvlText w:val="[%1]"/>
      <w:lvlJc w:val="left"/>
      <w:pPr>
        <w:ind w:left="360" w:hanging="360"/>
      </w:pPr>
      <w:rPr>
        <w:rFonts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A09483A"/>
    <w:multiLevelType w:val="hybridMultilevel"/>
    <w:tmpl w:val="1A548D2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nsid w:val="33784245"/>
    <w:multiLevelType w:val="hybridMultilevel"/>
    <w:tmpl w:val="744CF046"/>
    <w:lvl w:ilvl="0" w:tplc="DEB21588">
      <w:start w:val="1"/>
      <w:numFmt w:val="lowerRoman"/>
      <w:lvlText w:val="%1)"/>
      <w:lvlJc w:val="left"/>
      <w:pPr>
        <w:ind w:left="1425" w:hanging="72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8">
    <w:nsid w:val="41F64143"/>
    <w:multiLevelType w:val="hybridMultilevel"/>
    <w:tmpl w:val="C8D2DD76"/>
    <w:lvl w:ilvl="0" w:tplc="280A001B">
      <w:start w:val="1"/>
      <w:numFmt w:val="lowerRoman"/>
      <w:lvlText w:val="%1."/>
      <w:lvlJc w:val="right"/>
      <w:pPr>
        <w:ind w:left="732" w:hanging="360"/>
      </w:pPr>
    </w:lvl>
    <w:lvl w:ilvl="1" w:tplc="280A0019" w:tentative="1">
      <w:start w:val="1"/>
      <w:numFmt w:val="lowerLetter"/>
      <w:lvlText w:val="%2."/>
      <w:lvlJc w:val="left"/>
      <w:pPr>
        <w:ind w:left="1452" w:hanging="360"/>
      </w:pPr>
    </w:lvl>
    <w:lvl w:ilvl="2" w:tplc="280A001B" w:tentative="1">
      <w:start w:val="1"/>
      <w:numFmt w:val="lowerRoman"/>
      <w:lvlText w:val="%3."/>
      <w:lvlJc w:val="right"/>
      <w:pPr>
        <w:ind w:left="2172" w:hanging="180"/>
      </w:pPr>
    </w:lvl>
    <w:lvl w:ilvl="3" w:tplc="280A000F" w:tentative="1">
      <w:start w:val="1"/>
      <w:numFmt w:val="decimal"/>
      <w:lvlText w:val="%4."/>
      <w:lvlJc w:val="left"/>
      <w:pPr>
        <w:ind w:left="2892" w:hanging="360"/>
      </w:pPr>
    </w:lvl>
    <w:lvl w:ilvl="4" w:tplc="280A0019" w:tentative="1">
      <w:start w:val="1"/>
      <w:numFmt w:val="lowerLetter"/>
      <w:lvlText w:val="%5."/>
      <w:lvlJc w:val="left"/>
      <w:pPr>
        <w:ind w:left="3612" w:hanging="360"/>
      </w:pPr>
    </w:lvl>
    <w:lvl w:ilvl="5" w:tplc="280A001B" w:tentative="1">
      <w:start w:val="1"/>
      <w:numFmt w:val="lowerRoman"/>
      <w:lvlText w:val="%6."/>
      <w:lvlJc w:val="right"/>
      <w:pPr>
        <w:ind w:left="4332" w:hanging="180"/>
      </w:pPr>
    </w:lvl>
    <w:lvl w:ilvl="6" w:tplc="280A000F" w:tentative="1">
      <w:start w:val="1"/>
      <w:numFmt w:val="decimal"/>
      <w:lvlText w:val="%7."/>
      <w:lvlJc w:val="left"/>
      <w:pPr>
        <w:ind w:left="5052" w:hanging="360"/>
      </w:pPr>
    </w:lvl>
    <w:lvl w:ilvl="7" w:tplc="280A0019" w:tentative="1">
      <w:start w:val="1"/>
      <w:numFmt w:val="lowerLetter"/>
      <w:lvlText w:val="%8."/>
      <w:lvlJc w:val="left"/>
      <w:pPr>
        <w:ind w:left="5772" w:hanging="360"/>
      </w:pPr>
    </w:lvl>
    <w:lvl w:ilvl="8" w:tplc="280A001B" w:tentative="1">
      <w:start w:val="1"/>
      <w:numFmt w:val="lowerRoman"/>
      <w:lvlText w:val="%9."/>
      <w:lvlJc w:val="right"/>
      <w:pPr>
        <w:ind w:left="6492" w:hanging="180"/>
      </w:pPr>
    </w:lvl>
  </w:abstractNum>
  <w:abstractNum w:abstractNumId="9">
    <w:nsid w:val="4B8024C9"/>
    <w:multiLevelType w:val="hybridMultilevel"/>
    <w:tmpl w:val="F738EA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E0C5932"/>
    <w:multiLevelType w:val="multilevel"/>
    <w:tmpl w:val="3D44D720"/>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FCA3942"/>
    <w:multiLevelType w:val="hybridMultilevel"/>
    <w:tmpl w:val="F14C796E"/>
    <w:lvl w:ilvl="0" w:tplc="D6B6967E">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10901FC"/>
    <w:multiLevelType w:val="hybridMultilevel"/>
    <w:tmpl w:val="7AA815F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nsid w:val="561F1BD5"/>
    <w:multiLevelType w:val="hybridMultilevel"/>
    <w:tmpl w:val="2B4EDA1A"/>
    <w:lvl w:ilvl="0" w:tplc="B0DA0F24">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B3F456F"/>
    <w:multiLevelType w:val="hybridMultilevel"/>
    <w:tmpl w:val="E070B41A"/>
    <w:lvl w:ilvl="0" w:tplc="280A0001">
      <w:start w:val="1"/>
      <w:numFmt w:val="bullet"/>
      <w:lvlText w:val=""/>
      <w:lvlJc w:val="left"/>
      <w:pPr>
        <w:ind w:left="1800" w:hanging="360"/>
      </w:pPr>
      <w:rPr>
        <w:rFonts w:ascii="Symbol" w:hAnsi="Symbol" w:hint="default"/>
      </w:rPr>
    </w:lvl>
    <w:lvl w:ilvl="1" w:tplc="280A0003">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5">
    <w:nsid w:val="5DD50C67"/>
    <w:multiLevelType w:val="hybridMultilevel"/>
    <w:tmpl w:val="D5F47C0E"/>
    <w:lvl w:ilvl="0" w:tplc="BE58B442">
      <w:start w:val="22"/>
      <w:numFmt w:val="upperLetter"/>
      <w:lvlText w:val="%1."/>
      <w:lvlJc w:val="left"/>
      <w:pPr>
        <w:tabs>
          <w:tab w:val="num" w:pos="720"/>
        </w:tabs>
        <w:ind w:left="720" w:hanging="360"/>
      </w:pPr>
    </w:lvl>
    <w:lvl w:ilvl="1" w:tplc="FD24DEE8" w:tentative="1">
      <w:start w:val="1"/>
      <w:numFmt w:val="decimal"/>
      <w:lvlText w:val="%2."/>
      <w:lvlJc w:val="left"/>
      <w:pPr>
        <w:tabs>
          <w:tab w:val="num" w:pos="1440"/>
        </w:tabs>
        <w:ind w:left="1440" w:hanging="360"/>
      </w:pPr>
    </w:lvl>
    <w:lvl w:ilvl="2" w:tplc="25688A80" w:tentative="1">
      <w:start w:val="1"/>
      <w:numFmt w:val="decimal"/>
      <w:lvlText w:val="%3."/>
      <w:lvlJc w:val="left"/>
      <w:pPr>
        <w:tabs>
          <w:tab w:val="num" w:pos="2160"/>
        </w:tabs>
        <w:ind w:left="2160" w:hanging="360"/>
      </w:pPr>
    </w:lvl>
    <w:lvl w:ilvl="3" w:tplc="C76881A2" w:tentative="1">
      <w:start w:val="1"/>
      <w:numFmt w:val="decimal"/>
      <w:lvlText w:val="%4."/>
      <w:lvlJc w:val="left"/>
      <w:pPr>
        <w:tabs>
          <w:tab w:val="num" w:pos="2880"/>
        </w:tabs>
        <w:ind w:left="2880" w:hanging="360"/>
      </w:pPr>
    </w:lvl>
    <w:lvl w:ilvl="4" w:tplc="900EF714" w:tentative="1">
      <w:start w:val="1"/>
      <w:numFmt w:val="decimal"/>
      <w:lvlText w:val="%5."/>
      <w:lvlJc w:val="left"/>
      <w:pPr>
        <w:tabs>
          <w:tab w:val="num" w:pos="3600"/>
        </w:tabs>
        <w:ind w:left="3600" w:hanging="360"/>
      </w:pPr>
    </w:lvl>
    <w:lvl w:ilvl="5" w:tplc="62E8E7EA" w:tentative="1">
      <w:start w:val="1"/>
      <w:numFmt w:val="decimal"/>
      <w:lvlText w:val="%6."/>
      <w:lvlJc w:val="left"/>
      <w:pPr>
        <w:tabs>
          <w:tab w:val="num" w:pos="4320"/>
        </w:tabs>
        <w:ind w:left="4320" w:hanging="360"/>
      </w:pPr>
    </w:lvl>
    <w:lvl w:ilvl="6" w:tplc="820A60B8" w:tentative="1">
      <w:start w:val="1"/>
      <w:numFmt w:val="decimal"/>
      <w:lvlText w:val="%7."/>
      <w:lvlJc w:val="left"/>
      <w:pPr>
        <w:tabs>
          <w:tab w:val="num" w:pos="5040"/>
        </w:tabs>
        <w:ind w:left="5040" w:hanging="360"/>
      </w:pPr>
    </w:lvl>
    <w:lvl w:ilvl="7" w:tplc="F8A0931C" w:tentative="1">
      <w:start w:val="1"/>
      <w:numFmt w:val="decimal"/>
      <w:lvlText w:val="%8."/>
      <w:lvlJc w:val="left"/>
      <w:pPr>
        <w:tabs>
          <w:tab w:val="num" w:pos="5760"/>
        </w:tabs>
        <w:ind w:left="5760" w:hanging="360"/>
      </w:pPr>
    </w:lvl>
    <w:lvl w:ilvl="8" w:tplc="FF609194" w:tentative="1">
      <w:start w:val="1"/>
      <w:numFmt w:val="decimal"/>
      <w:lvlText w:val="%9."/>
      <w:lvlJc w:val="left"/>
      <w:pPr>
        <w:tabs>
          <w:tab w:val="num" w:pos="6480"/>
        </w:tabs>
        <w:ind w:left="6480" w:hanging="360"/>
      </w:pPr>
    </w:lvl>
  </w:abstractNum>
  <w:abstractNum w:abstractNumId="16">
    <w:nsid w:val="6B782FC4"/>
    <w:multiLevelType w:val="hybridMultilevel"/>
    <w:tmpl w:val="72CED716"/>
    <w:lvl w:ilvl="0" w:tplc="461E51C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E8A4A5D"/>
    <w:multiLevelType w:val="hybridMultilevel"/>
    <w:tmpl w:val="32CE8DE0"/>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nsid w:val="7FEC670E"/>
    <w:multiLevelType w:val="hybridMultilevel"/>
    <w:tmpl w:val="1F0800BC"/>
    <w:lvl w:ilvl="0" w:tplc="5286539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0"/>
  </w:num>
  <w:num w:numId="5">
    <w:abstractNumId w:val="5"/>
  </w:num>
  <w:num w:numId="6">
    <w:abstractNumId w:val="6"/>
  </w:num>
  <w:num w:numId="7">
    <w:abstractNumId w:val="8"/>
  </w:num>
  <w:num w:numId="8">
    <w:abstractNumId w:val="12"/>
  </w:num>
  <w:num w:numId="9">
    <w:abstractNumId w:val="17"/>
  </w:num>
  <w:num w:numId="10">
    <w:abstractNumId w:val="14"/>
  </w:num>
  <w:num w:numId="11">
    <w:abstractNumId w:val="9"/>
  </w:num>
  <w:num w:numId="12">
    <w:abstractNumId w:val="4"/>
  </w:num>
  <w:num w:numId="13">
    <w:abstractNumId w:val="1"/>
  </w:num>
  <w:num w:numId="14">
    <w:abstractNumId w:val="16"/>
  </w:num>
  <w:num w:numId="15">
    <w:abstractNumId w:val="3"/>
  </w:num>
  <w:num w:numId="16">
    <w:abstractNumId w:val="0"/>
  </w:num>
  <w:num w:numId="17">
    <w:abstractNumId w:val="13"/>
  </w:num>
  <w:num w:numId="18">
    <w:abstractNumId w:val="18"/>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3"/>
    <w:rsid w:val="00000D7E"/>
    <w:rsid w:val="00003008"/>
    <w:rsid w:val="000042E5"/>
    <w:rsid w:val="00005E2A"/>
    <w:rsid w:val="00012194"/>
    <w:rsid w:val="00012D35"/>
    <w:rsid w:val="00016769"/>
    <w:rsid w:val="00016AC4"/>
    <w:rsid w:val="00022E0C"/>
    <w:rsid w:val="0002486F"/>
    <w:rsid w:val="000258F4"/>
    <w:rsid w:val="0002648D"/>
    <w:rsid w:val="0003046F"/>
    <w:rsid w:val="00032386"/>
    <w:rsid w:val="00032B0F"/>
    <w:rsid w:val="000330EA"/>
    <w:rsid w:val="00034493"/>
    <w:rsid w:val="000412D9"/>
    <w:rsid w:val="00041A37"/>
    <w:rsid w:val="00041D83"/>
    <w:rsid w:val="000437B4"/>
    <w:rsid w:val="0004431F"/>
    <w:rsid w:val="00045C46"/>
    <w:rsid w:val="000477DB"/>
    <w:rsid w:val="00047C4B"/>
    <w:rsid w:val="00050062"/>
    <w:rsid w:val="0005186F"/>
    <w:rsid w:val="000534AA"/>
    <w:rsid w:val="00054E7A"/>
    <w:rsid w:val="00056A63"/>
    <w:rsid w:val="00057F86"/>
    <w:rsid w:val="00062A35"/>
    <w:rsid w:val="000632CE"/>
    <w:rsid w:val="00064FC0"/>
    <w:rsid w:val="0006593D"/>
    <w:rsid w:val="00065B4A"/>
    <w:rsid w:val="0006651C"/>
    <w:rsid w:val="000679AF"/>
    <w:rsid w:val="00073384"/>
    <w:rsid w:val="00073E35"/>
    <w:rsid w:val="000769B8"/>
    <w:rsid w:val="0008102C"/>
    <w:rsid w:val="000818BB"/>
    <w:rsid w:val="00083DA8"/>
    <w:rsid w:val="000851A3"/>
    <w:rsid w:val="00085D3B"/>
    <w:rsid w:val="00086695"/>
    <w:rsid w:val="00086DAB"/>
    <w:rsid w:val="00087522"/>
    <w:rsid w:val="00087B98"/>
    <w:rsid w:val="00097089"/>
    <w:rsid w:val="000A0B11"/>
    <w:rsid w:val="000A1918"/>
    <w:rsid w:val="000A2B1C"/>
    <w:rsid w:val="000A3617"/>
    <w:rsid w:val="000A42AF"/>
    <w:rsid w:val="000A46B0"/>
    <w:rsid w:val="000A4ACD"/>
    <w:rsid w:val="000A61E8"/>
    <w:rsid w:val="000A6CCD"/>
    <w:rsid w:val="000A74DB"/>
    <w:rsid w:val="000A7C49"/>
    <w:rsid w:val="000B3C4C"/>
    <w:rsid w:val="000B47BC"/>
    <w:rsid w:val="000B4A53"/>
    <w:rsid w:val="000B4D7A"/>
    <w:rsid w:val="000B749E"/>
    <w:rsid w:val="000B7BA0"/>
    <w:rsid w:val="000C2492"/>
    <w:rsid w:val="000C4F95"/>
    <w:rsid w:val="000C727E"/>
    <w:rsid w:val="000C77EA"/>
    <w:rsid w:val="000C7C29"/>
    <w:rsid w:val="000D08C9"/>
    <w:rsid w:val="000D4014"/>
    <w:rsid w:val="000D4223"/>
    <w:rsid w:val="000D427B"/>
    <w:rsid w:val="000E16DF"/>
    <w:rsid w:val="000E1919"/>
    <w:rsid w:val="000E24D8"/>
    <w:rsid w:val="000E5B63"/>
    <w:rsid w:val="000E7B1C"/>
    <w:rsid w:val="000F03F3"/>
    <w:rsid w:val="000F14ED"/>
    <w:rsid w:val="000F203A"/>
    <w:rsid w:val="000F236F"/>
    <w:rsid w:val="000F243E"/>
    <w:rsid w:val="000F55EF"/>
    <w:rsid w:val="000F6D7E"/>
    <w:rsid w:val="00101216"/>
    <w:rsid w:val="001013CE"/>
    <w:rsid w:val="00101ECC"/>
    <w:rsid w:val="00104AFA"/>
    <w:rsid w:val="0010572F"/>
    <w:rsid w:val="0010609E"/>
    <w:rsid w:val="00107078"/>
    <w:rsid w:val="00110734"/>
    <w:rsid w:val="0011126F"/>
    <w:rsid w:val="0011226F"/>
    <w:rsid w:val="001135E8"/>
    <w:rsid w:val="0011376B"/>
    <w:rsid w:val="00113C10"/>
    <w:rsid w:val="00114BD6"/>
    <w:rsid w:val="001151D4"/>
    <w:rsid w:val="00115BCD"/>
    <w:rsid w:val="001175D2"/>
    <w:rsid w:val="0012067D"/>
    <w:rsid w:val="00122268"/>
    <w:rsid w:val="00122F6D"/>
    <w:rsid w:val="00124CF5"/>
    <w:rsid w:val="00126768"/>
    <w:rsid w:val="00130E2C"/>
    <w:rsid w:val="00131CF5"/>
    <w:rsid w:val="0013275B"/>
    <w:rsid w:val="00133A9B"/>
    <w:rsid w:val="001351CE"/>
    <w:rsid w:val="00136A9B"/>
    <w:rsid w:val="001402AE"/>
    <w:rsid w:val="00140642"/>
    <w:rsid w:val="0014103D"/>
    <w:rsid w:val="00142563"/>
    <w:rsid w:val="00146EA2"/>
    <w:rsid w:val="00147869"/>
    <w:rsid w:val="00147CD7"/>
    <w:rsid w:val="001504C7"/>
    <w:rsid w:val="001509F1"/>
    <w:rsid w:val="00150CC2"/>
    <w:rsid w:val="0015224A"/>
    <w:rsid w:val="00152AFF"/>
    <w:rsid w:val="001535EF"/>
    <w:rsid w:val="001551D5"/>
    <w:rsid w:val="00155463"/>
    <w:rsid w:val="00155731"/>
    <w:rsid w:val="00156691"/>
    <w:rsid w:val="001625D3"/>
    <w:rsid w:val="00162F6C"/>
    <w:rsid w:val="0016511D"/>
    <w:rsid w:val="001653B3"/>
    <w:rsid w:val="00165F91"/>
    <w:rsid w:val="00166B8B"/>
    <w:rsid w:val="00170746"/>
    <w:rsid w:val="00172772"/>
    <w:rsid w:val="00173B72"/>
    <w:rsid w:val="0018105A"/>
    <w:rsid w:val="00187516"/>
    <w:rsid w:val="001917FA"/>
    <w:rsid w:val="001919DE"/>
    <w:rsid w:val="001976B6"/>
    <w:rsid w:val="001A21EC"/>
    <w:rsid w:val="001A3107"/>
    <w:rsid w:val="001A34F5"/>
    <w:rsid w:val="001A367E"/>
    <w:rsid w:val="001A4DEB"/>
    <w:rsid w:val="001A6EF1"/>
    <w:rsid w:val="001A7937"/>
    <w:rsid w:val="001B099E"/>
    <w:rsid w:val="001B278D"/>
    <w:rsid w:val="001B2A87"/>
    <w:rsid w:val="001B3177"/>
    <w:rsid w:val="001B41B7"/>
    <w:rsid w:val="001B6503"/>
    <w:rsid w:val="001B6B2C"/>
    <w:rsid w:val="001C3E76"/>
    <w:rsid w:val="001C4D30"/>
    <w:rsid w:val="001C71C9"/>
    <w:rsid w:val="001D1672"/>
    <w:rsid w:val="001D657F"/>
    <w:rsid w:val="001D6999"/>
    <w:rsid w:val="001D7488"/>
    <w:rsid w:val="001D7973"/>
    <w:rsid w:val="001E1182"/>
    <w:rsid w:val="001E159F"/>
    <w:rsid w:val="001E1973"/>
    <w:rsid w:val="001E4916"/>
    <w:rsid w:val="001F03AA"/>
    <w:rsid w:val="001F3445"/>
    <w:rsid w:val="001F4EB8"/>
    <w:rsid w:val="001F5893"/>
    <w:rsid w:val="001F7C0B"/>
    <w:rsid w:val="00200080"/>
    <w:rsid w:val="00200EF7"/>
    <w:rsid w:val="002075A3"/>
    <w:rsid w:val="002105BC"/>
    <w:rsid w:val="00210C9D"/>
    <w:rsid w:val="002121D1"/>
    <w:rsid w:val="00212950"/>
    <w:rsid w:val="00215DB1"/>
    <w:rsid w:val="00215E87"/>
    <w:rsid w:val="0021733E"/>
    <w:rsid w:val="00217964"/>
    <w:rsid w:val="002210DD"/>
    <w:rsid w:val="00221239"/>
    <w:rsid w:val="00221902"/>
    <w:rsid w:val="00222426"/>
    <w:rsid w:val="00225994"/>
    <w:rsid w:val="00227DEF"/>
    <w:rsid w:val="002301A8"/>
    <w:rsid w:val="002306C4"/>
    <w:rsid w:val="00230D18"/>
    <w:rsid w:val="00231DE1"/>
    <w:rsid w:val="00232B3C"/>
    <w:rsid w:val="00233A37"/>
    <w:rsid w:val="002343D1"/>
    <w:rsid w:val="00234670"/>
    <w:rsid w:val="0023516E"/>
    <w:rsid w:val="002354E0"/>
    <w:rsid w:val="00240985"/>
    <w:rsid w:val="00241C54"/>
    <w:rsid w:val="002440EA"/>
    <w:rsid w:val="00246129"/>
    <w:rsid w:val="00250704"/>
    <w:rsid w:val="00252A02"/>
    <w:rsid w:val="00252C27"/>
    <w:rsid w:val="0025720B"/>
    <w:rsid w:val="0025747A"/>
    <w:rsid w:val="00257899"/>
    <w:rsid w:val="00257C70"/>
    <w:rsid w:val="002618DE"/>
    <w:rsid w:val="00262EB6"/>
    <w:rsid w:val="00263C74"/>
    <w:rsid w:val="0026501A"/>
    <w:rsid w:val="002650A6"/>
    <w:rsid w:val="0026524D"/>
    <w:rsid w:val="0026542D"/>
    <w:rsid w:val="00265DAB"/>
    <w:rsid w:val="00271374"/>
    <w:rsid w:val="002718B1"/>
    <w:rsid w:val="0027202C"/>
    <w:rsid w:val="002720AE"/>
    <w:rsid w:val="00272FA1"/>
    <w:rsid w:val="002772D2"/>
    <w:rsid w:val="00277699"/>
    <w:rsid w:val="00282090"/>
    <w:rsid w:val="002822A6"/>
    <w:rsid w:val="002831C4"/>
    <w:rsid w:val="002841B1"/>
    <w:rsid w:val="00284894"/>
    <w:rsid w:val="00285158"/>
    <w:rsid w:val="00285B71"/>
    <w:rsid w:val="002875C2"/>
    <w:rsid w:val="002908AC"/>
    <w:rsid w:val="00292757"/>
    <w:rsid w:val="00292B12"/>
    <w:rsid w:val="00294517"/>
    <w:rsid w:val="002951DF"/>
    <w:rsid w:val="002A494C"/>
    <w:rsid w:val="002A4E0F"/>
    <w:rsid w:val="002A5E0D"/>
    <w:rsid w:val="002A754A"/>
    <w:rsid w:val="002A778C"/>
    <w:rsid w:val="002B2704"/>
    <w:rsid w:val="002B56A5"/>
    <w:rsid w:val="002B5B76"/>
    <w:rsid w:val="002B7F5B"/>
    <w:rsid w:val="002C1F3D"/>
    <w:rsid w:val="002C2625"/>
    <w:rsid w:val="002C517A"/>
    <w:rsid w:val="002C6503"/>
    <w:rsid w:val="002C6729"/>
    <w:rsid w:val="002C7384"/>
    <w:rsid w:val="002D01BE"/>
    <w:rsid w:val="002D0C3A"/>
    <w:rsid w:val="002D1E65"/>
    <w:rsid w:val="002D25F3"/>
    <w:rsid w:val="002D396E"/>
    <w:rsid w:val="002D3F4B"/>
    <w:rsid w:val="002D4951"/>
    <w:rsid w:val="002D7459"/>
    <w:rsid w:val="002E0F54"/>
    <w:rsid w:val="002E117C"/>
    <w:rsid w:val="002E1A00"/>
    <w:rsid w:val="002E2E79"/>
    <w:rsid w:val="002E79D3"/>
    <w:rsid w:val="002E7A4B"/>
    <w:rsid w:val="002F00F5"/>
    <w:rsid w:val="002F1094"/>
    <w:rsid w:val="002F1993"/>
    <w:rsid w:val="002F2007"/>
    <w:rsid w:val="002F275A"/>
    <w:rsid w:val="002F2E06"/>
    <w:rsid w:val="002F3D87"/>
    <w:rsid w:val="002F3F70"/>
    <w:rsid w:val="002F595C"/>
    <w:rsid w:val="002F7155"/>
    <w:rsid w:val="002F7A28"/>
    <w:rsid w:val="00300D2C"/>
    <w:rsid w:val="00302970"/>
    <w:rsid w:val="00303794"/>
    <w:rsid w:val="00304038"/>
    <w:rsid w:val="00304B25"/>
    <w:rsid w:val="003063C9"/>
    <w:rsid w:val="0031278F"/>
    <w:rsid w:val="003153B6"/>
    <w:rsid w:val="00315ABD"/>
    <w:rsid w:val="00315E3D"/>
    <w:rsid w:val="00317C36"/>
    <w:rsid w:val="00324531"/>
    <w:rsid w:val="00325784"/>
    <w:rsid w:val="00325977"/>
    <w:rsid w:val="00325CC0"/>
    <w:rsid w:val="00325DC3"/>
    <w:rsid w:val="00326080"/>
    <w:rsid w:val="003264EE"/>
    <w:rsid w:val="00327439"/>
    <w:rsid w:val="003277AD"/>
    <w:rsid w:val="00330ACB"/>
    <w:rsid w:val="00331028"/>
    <w:rsid w:val="00332F64"/>
    <w:rsid w:val="00334831"/>
    <w:rsid w:val="00336EE2"/>
    <w:rsid w:val="00337A64"/>
    <w:rsid w:val="00340D66"/>
    <w:rsid w:val="00341909"/>
    <w:rsid w:val="0034227A"/>
    <w:rsid w:val="00342C59"/>
    <w:rsid w:val="0034700A"/>
    <w:rsid w:val="0034767E"/>
    <w:rsid w:val="00347CFD"/>
    <w:rsid w:val="00350D95"/>
    <w:rsid w:val="00350F0F"/>
    <w:rsid w:val="0035108F"/>
    <w:rsid w:val="00354155"/>
    <w:rsid w:val="00354B47"/>
    <w:rsid w:val="003550E4"/>
    <w:rsid w:val="00355A92"/>
    <w:rsid w:val="00356922"/>
    <w:rsid w:val="00360E90"/>
    <w:rsid w:val="00360F88"/>
    <w:rsid w:val="003619A0"/>
    <w:rsid w:val="00362869"/>
    <w:rsid w:val="003635BD"/>
    <w:rsid w:val="00367C65"/>
    <w:rsid w:val="0037136C"/>
    <w:rsid w:val="003721AF"/>
    <w:rsid w:val="0037231D"/>
    <w:rsid w:val="00372886"/>
    <w:rsid w:val="003748FA"/>
    <w:rsid w:val="00375E65"/>
    <w:rsid w:val="003765B3"/>
    <w:rsid w:val="00380DF0"/>
    <w:rsid w:val="00381B55"/>
    <w:rsid w:val="0038249A"/>
    <w:rsid w:val="003830D4"/>
    <w:rsid w:val="00385103"/>
    <w:rsid w:val="00386143"/>
    <w:rsid w:val="00387B5B"/>
    <w:rsid w:val="00390469"/>
    <w:rsid w:val="00393C92"/>
    <w:rsid w:val="00394330"/>
    <w:rsid w:val="00396452"/>
    <w:rsid w:val="00396958"/>
    <w:rsid w:val="0039782C"/>
    <w:rsid w:val="00397FF1"/>
    <w:rsid w:val="003A0663"/>
    <w:rsid w:val="003A29E7"/>
    <w:rsid w:val="003A2D45"/>
    <w:rsid w:val="003A39E7"/>
    <w:rsid w:val="003A602C"/>
    <w:rsid w:val="003B1A4F"/>
    <w:rsid w:val="003B397E"/>
    <w:rsid w:val="003B6A9F"/>
    <w:rsid w:val="003C0306"/>
    <w:rsid w:val="003C0385"/>
    <w:rsid w:val="003C176F"/>
    <w:rsid w:val="003C2080"/>
    <w:rsid w:val="003C5CE4"/>
    <w:rsid w:val="003C6F05"/>
    <w:rsid w:val="003C7C23"/>
    <w:rsid w:val="003D1810"/>
    <w:rsid w:val="003D35F6"/>
    <w:rsid w:val="003D4EC2"/>
    <w:rsid w:val="003D540B"/>
    <w:rsid w:val="003D65E6"/>
    <w:rsid w:val="003E0A04"/>
    <w:rsid w:val="003E3AE6"/>
    <w:rsid w:val="003E67D5"/>
    <w:rsid w:val="003E6F25"/>
    <w:rsid w:val="003E74A1"/>
    <w:rsid w:val="003F0535"/>
    <w:rsid w:val="003F304C"/>
    <w:rsid w:val="003F4AB2"/>
    <w:rsid w:val="003F5073"/>
    <w:rsid w:val="0040255E"/>
    <w:rsid w:val="004040FA"/>
    <w:rsid w:val="004061F2"/>
    <w:rsid w:val="00406487"/>
    <w:rsid w:val="00411E67"/>
    <w:rsid w:val="00414BAD"/>
    <w:rsid w:val="00415B74"/>
    <w:rsid w:val="00420135"/>
    <w:rsid w:val="00420CA9"/>
    <w:rsid w:val="0042175C"/>
    <w:rsid w:val="00425BE7"/>
    <w:rsid w:val="00426340"/>
    <w:rsid w:val="0042726F"/>
    <w:rsid w:val="00430D7C"/>
    <w:rsid w:val="004322A1"/>
    <w:rsid w:val="00432336"/>
    <w:rsid w:val="00435097"/>
    <w:rsid w:val="00435D6C"/>
    <w:rsid w:val="004364B8"/>
    <w:rsid w:val="0043751B"/>
    <w:rsid w:val="00440D56"/>
    <w:rsid w:val="00447664"/>
    <w:rsid w:val="004507F7"/>
    <w:rsid w:val="00452584"/>
    <w:rsid w:val="00454ED3"/>
    <w:rsid w:val="0045591F"/>
    <w:rsid w:val="00455C44"/>
    <w:rsid w:val="004616C8"/>
    <w:rsid w:val="004638C1"/>
    <w:rsid w:val="00463C00"/>
    <w:rsid w:val="00464AF0"/>
    <w:rsid w:val="004660EC"/>
    <w:rsid w:val="004666C5"/>
    <w:rsid w:val="00467094"/>
    <w:rsid w:val="0047238E"/>
    <w:rsid w:val="00472B9C"/>
    <w:rsid w:val="00472C7F"/>
    <w:rsid w:val="00473449"/>
    <w:rsid w:val="00473705"/>
    <w:rsid w:val="0047451D"/>
    <w:rsid w:val="004764A3"/>
    <w:rsid w:val="00476C11"/>
    <w:rsid w:val="0048555C"/>
    <w:rsid w:val="00487A2D"/>
    <w:rsid w:val="00490724"/>
    <w:rsid w:val="00491F97"/>
    <w:rsid w:val="00493535"/>
    <w:rsid w:val="00494EE2"/>
    <w:rsid w:val="004957CA"/>
    <w:rsid w:val="00496439"/>
    <w:rsid w:val="004A0B57"/>
    <w:rsid w:val="004A15F5"/>
    <w:rsid w:val="004A17A2"/>
    <w:rsid w:val="004A1B11"/>
    <w:rsid w:val="004A2A3D"/>
    <w:rsid w:val="004A3276"/>
    <w:rsid w:val="004A52C4"/>
    <w:rsid w:val="004B02C2"/>
    <w:rsid w:val="004B0754"/>
    <w:rsid w:val="004B379B"/>
    <w:rsid w:val="004B4D3D"/>
    <w:rsid w:val="004C11CF"/>
    <w:rsid w:val="004C1BBC"/>
    <w:rsid w:val="004C1EBF"/>
    <w:rsid w:val="004C443B"/>
    <w:rsid w:val="004C580D"/>
    <w:rsid w:val="004D1AED"/>
    <w:rsid w:val="004D1B2F"/>
    <w:rsid w:val="004D1DFB"/>
    <w:rsid w:val="004D32B8"/>
    <w:rsid w:val="004D379E"/>
    <w:rsid w:val="004D4DCE"/>
    <w:rsid w:val="004D658A"/>
    <w:rsid w:val="004D7079"/>
    <w:rsid w:val="004E10C7"/>
    <w:rsid w:val="004E4016"/>
    <w:rsid w:val="004E4154"/>
    <w:rsid w:val="004E4555"/>
    <w:rsid w:val="004E462F"/>
    <w:rsid w:val="004E5060"/>
    <w:rsid w:val="004E780A"/>
    <w:rsid w:val="004F1557"/>
    <w:rsid w:val="004F1956"/>
    <w:rsid w:val="004F2998"/>
    <w:rsid w:val="004F4317"/>
    <w:rsid w:val="004F4D3B"/>
    <w:rsid w:val="004F7BBC"/>
    <w:rsid w:val="004F7C28"/>
    <w:rsid w:val="0050162F"/>
    <w:rsid w:val="00501CCE"/>
    <w:rsid w:val="00502D96"/>
    <w:rsid w:val="00503E99"/>
    <w:rsid w:val="005048EB"/>
    <w:rsid w:val="005062B8"/>
    <w:rsid w:val="0050640E"/>
    <w:rsid w:val="00506CDF"/>
    <w:rsid w:val="005105D8"/>
    <w:rsid w:val="00510711"/>
    <w:rsid w:val="00511810"/>
    <w:rsid w:val="0051239A"/>
    <w:rsid w:val="00513E9B"/>
    <w:rsid w:val="00514785"/>
    <w:rsid w:val="00516F18"/>
    <w:rsid w:val="005174F5"/>
    <w:rsid w:val="00517CA0"/>
    <w:rsid w:val="00520269"/>
    <w:rsid w:val="00520398"/>
    <w:rsid w:val="00522CBA"/>
    <w:rsid w:val="00524F7C"/>
    <w:rsid w:val="005315C6"/>
    <w:rsid w:val="00533BF6"/>
    <w:rsid w:val="00533F6A"/>
    <w:rsid w:val="005352F7"/>
    <w:rsid w:val="00537FF0"/>
    <w:rsid w:val="00540851"/>
    <w:rsid w:val="005412AA"/>
    <w:rsid w:val="00543AF0"/>
    <w:rsid w:val="00544435"/>
    <w:rsid w:val="0054530E"/>
    <w:rsid w:val="00545446"/>
    <w:rsid w:val="00547F95"/>
    <w:rsid w:val="00552F71"/>
    <w:rsid w:val="00555BC1"/>
    <w:rsid w:val="00555DF7"/>
    <w:rsid w:val="00556436"/>
    <w:rsid w:val="00556F71"/>
    <w:rsid w:val="005571D8"/>
    <w:rsid w:val="005574C6"/>
    <w:rsid w:val="00561B35"/>
    <w:rsid w:val="00562222"/>
    <w:rsid w:val="00563B9B"/>
    <w:rsid w:val="00565DBB"/>
    <w:rsid w:val="00570D43"/>
    <w:rsid w:val="00573C86"/>
    <w:rsid w:val="005754CA"/>
    <w:rsid w:val="00583A51"/>
    <w:rsid w:val="00585F98"/>
    <w:rsid w:val="00586FE4"/>
    <w:rsid w:val="00592D2E"/>
    <w:rsid w:val="00593760"/>
    <w:rsid w:val="00594114"/>
    <w:rsid w:val="005A2B25"/>
    <w:rsid w:val="005A43FF"/>
    <w:rsid w:val="005A5D07"/>
    <w:rsid w:val="005A60CD"/>
    <w:rsid w:val="005A653A"/>
    <w:rsid w:val="005A69C6"/>
    <w:rsid w:val="005B1F65"/>
    <w:rsid w:val="005B379A"/>
    <w:rsid w:val="005B7B31"/>
    <w:rsid w:val="005C1285"/>
    <w:rsid w:val="005C174E"/>
    <w:rsid w:val="005C214F"/>
    <w:rsid w:val="005C23FB"/>
    <w:rsid w:val="005C3F77"/>
    <w:rsid w:val="005C42B3"/>
    <w:rsid w:val="005C5853"/>
    <w:rsid w:val="005C745D"/>
    <w:rsid w:val="005C7ADA"/>
    <w:rsid w:val="005D008D"/>
    <w:rsid w:val="005D0356"/>
    <w:rsid w:val="005D4B8B"/>
    <w:rsid w:val="005D7236"/>
    <w:rsid w:val="005D78BD"/>
    <w:rsid w:val="005E22B3"/>
    <w:rsid w:val="005E2AFB"/>
    <w:rsid w:val="005E728D"/>
    <w:rsid w:val="005F0766"/>
    <w:rsid w:val="005F2917"/>
    <w:rsid w:val="005F2D90"/>
    <w:rsid w:val="005F5F28"/>
    <w:rsid w:val="005F76E6"/>
    <w:rsid w:val="00600C0A"/>
    <w:rsid w:val="00605850"/>
    <w:rsid w:val="00606A64"/>
    <w:rsid w:val="006078F7"/>
    <w:rsid w:val="00607912"/>
    <w:rsid w:val="00607BB6"/>
    <w:rsid w:val="0061060E"/>
    <w:rsid w:val="00612757"/>
    <w:rsid w:val="00613695"/>
    <w:rsid w:val="00613B84"/>
    <w:rsid w:val="0061444C"/>
    <w:rsid w:val="00614F42"/>
    <w:rsid w:val="0061694A"/>
    <w:rsid w:val="006169DF"/>
    <w:rsid w:val="00616DF6"/>
    <w:rsid w:val="00617826"/>
    <w:rsid w:val="00622145"/>
    <w:rsid w:val="0062241D"/>
    <w:rsid w:val="006234E4"/>
    <w:rsid w:val="00623B24"/>
    <w:rsid w:val="00623CF7"/>
    <w:rsid w:val="006251D6"/>
    <w:rsid w:val="00625D86"/>
    <w:rsid w:val="0062662A"/>
    <w:rsid w:val="00626F60"/>
    <w:rsid w:val="00627880"/>
    <w:rsid w:val="006278BB"/>
    <w:rsid w:val="0062790D"/>
    <w:rsid w:val="0062793A"/>
    <w:rsid w:val="00631CDD"/>
    <w:rsid w:val="00632570"/>
    <w:rsid w:val="00636009"/>
    <w:rsid w:val="00636198"/>
    <w:rsid w:val="00637EC6"/>
    <w:rsid w:val="006402E0"/>
    <w:rsid w:val="006406A6"/>
    <w:rsid w:val="0064109B"/>
    <w:rsid w:val="00650429"/>
    <w:rsid w:val="00650A46"/>
    <w:rsid w:val="00650F9A"/>
    <w:rsid w:val="00652477"/>
    <w:rsid w:val="00652E09"/>
    <w:rsid w:val="006550B7"/>
    <w:rsid w:val="0065650C"/>
    <w:rsid w:val="006572D6"/>
    <w:rsid w:val="00657B41"/>
    <w:rsid w:val="00657F3B"/>
    <w:rsid w:val="00661C48"/>
    <w:rsid w:val="006634B6"/>
    <w:rsid w:val="00664204"/>
    <w:rsid w:val="0066546D"/>
    <w:rsid w:val="00665796"/>
    <w:rsid w:val="00666640"/>
    <w:rsid w:val="00670031"/>
    <w:rsid w:val="00672D6F"/>
    <w:rsid w:val="00675C73"/>
    <w:rsid w:val="0067728B"/>
    <w:rsid w:val="006817F8"/>
    <w:rsid w:val="00681F1B"/>
    <w:rsid w:val="00682099"/>
    <w:rsid w:val="00682755"/>
    <w:rsid w:val="00683403"/>
    <w:rsid w:val="0068543E"/>
    <w:rsid w:val="00686738"/>
    <w:rsid w:val="0068747A"/>
    <w:rsid w:val="00687EEE"/>
    <w:rsid w:val="006959F6"/>
    <w:rsid w:val="00697246"/>
    <w:rsid w:val="006A0EFC"/>
    <w:rsid w:val="006A151F"/>
    <w:rsid w:val="006A48C7"/>
    <w:rsid w:val="006A5AF5"/>
    <w:rsid w:val="006A6F4E"/>
    <w:rsid w:val="006A7313"/>
    <w:rsid w:val="006B021E"/>
    <w:rsid w:val="006B03D0"/>
    <w:rsid w:val="006B6253"/>
    <w:rsid w:val="006C1374"/>
    <w:rsid w:val="006C25EA"/>
    <w:rsid w:val="006C2954"/>
    <w:rsid w:val="006C549C"/>
    <w:rsid w:val="006C59C5"/>
    <w:rsid w:val="006C60AC"/>
    <w:rsid w:val="006C704F"/>
    <w:rsid w:val="006D1A95"/>
    <w:rsid w:val="006D218C"/>
    <w:rsid w:val="006D38E3"/>
    <w:rsid w:val="006D3C00"/>
    <w:rsid w:val="006D3C6F"/>
    <w:rsid w:val="006D4BB7"/>
    <w:rsid w:val="006E2E2F"/>
    <w:rsid w:val="006E3383"/>
    <w:rsid w:val="006E531B"/>
    <w:rsid w:val="006E6031"/>
    <w:rsid w:val="006E6A23"/>
    <w:rsid w:val="006F2F2C"/>
    <w:rsid w:val="006F3B90"/>
    <w:rsid w:val="006F5EFE"/>
    <w:rsid w:val="006F6FC5"/>
    <w:rsid w:val="006F77A0"/>
    <w:rsid w:val="006F7ED6"/>
    <w:rsid w:val="00702FBD"/>
    <w:rsid w:val="007042B4"/>
    <w:rsid w:val="00704A44"/>
    <w:rsid w:val="007064D3"/>
    <w:rsid w:val="00707526"/>
    <w:rsid w:val="00707561"/>
    <w:rsid w:val="00711B60"/>
    <w:rsid w:val="00713340"/>
    <w:rsid w:val="00713E8F"/>
    <w:rsid w:val="00714D7D"/>
    <w:rsid w:val="00716D8B"/>
    <w:rsid w:val="007170F3"/>
    <w:rsid w:val="00717382"/>
    <w:rsid w:val="00717A3E"/>
    <w:rsid w:val="00717B5B"/>
    <w:rsid w:val="00717CC1"/>
    <w:rsid w:val="00720994"/>
    <w:rsid w:val="00720BAE"/>
    <w:rsid w:val="007214E9"/>
    <w:rsid w:val="0072194C"/>
    <w:rsid w:val="0072322B"/>
    <w:rsid w:val="00724EFC"/>
    <w:rsid w:val="007314BC"/>
    <w:rsid w:val="00731FEE"/>
    <w:rsid w:val="007321DF"/>
    <w:rsid w:val="00732954"/>
    <w:rsid w:val="00735FBF"/>
    <w:rsid w:val="007372C9"/>
    <w:rsid w:val="00737ECA"/>
    <w:rsid w:val="00740FE1"/>
    <w:rsid w:val="00743540"/>
    <w:rsid w:val="00744A5F"/>
    <w:rsid w:val="00745CA5"/>
    <w:rsid w:val="0074634C"/>
    <w:rsid w:val="00751006"/>
    <w:rsid w:val="00756121"/>
    <w:rsid w:val="00757906"/>
    <w:rsid w:val="007579F4"/>
    <w:rsid w:val="0076076E"/>
    <w:rsid w:val="00761A20"/>
    <w:rsid w:val="00763CFE"/>
    <w:rsid w:val="007641F7"/>
    <w:rsid w:val="00766156"/>
    <w:rsid w:val="00772651"/>
    <w:rsid w:val="0077307E"/>
    <w:rsid w:val="00773AB5"/>
    <w:rsid w:val="007761E7"/>
    <w:rsid w:val="007811E1"/>
    <w:rsid w:val="007819A0"/>
    <w:rsid w:val="00782A77"/>
    <w:rsid w:val="00784A76"/>
    <w:rsid w:val="00784F3F"/>
    <w:rsid w:val="00786133"/>
    <w:rsid w:val="0078642D"/>
    <w:rsid w:val="00787085"/>
    <w:rsid w:val="00790AC2"/>
    <w:rsid w:val="0079314D"/>
    <w:rsid w:val="00793CD4"/>
    <w:rsid w:val="007945BF"/>
    <w:rsid w:val="00794A6C"/>
    <w:rsid w:val="00795C45"/>
    <w:rsid w:val="007A1507"/>
    <w:rsid w:val="007A36F0"/>
    <w:rsid w:val="007A37AA"/>
    <w:rsid w:val="007A4CF9"/>
    <w:rsid w:val="007A5A5F"/>
    <w:rsid w:val="007B3BF9"/>
    <w:rsid w:val="007B70E1"/>
    <w:rsid w:val="007B7B14"/>
    <w:rsid w:val="007C045D"/>
    <w:rsid w:val="007C0D21"/>
    <w:rsid w:val="007C35FE"/>
    <w:rsid w:val="007C7674"/>
    <w:rsid w:val="007D1F74"/>
    <w:rsid w:val="007D2FDB"/>
    <w:rsid w:val="007D4408"/>
    <w:rsid w:val="007D4C92"/>
    <w:rsid w:val="007D4CCA"/>
    <w:rsid w:val="007D6F03"/>
    <w:rsid w:val="007E3492"/>
    <w:rsid w:val="007E4E99"/>
    <w:rsid w:val="007E57F7"/>
    <w:rsid w:val="007E73F0"/>
    <w:rsid w:val="007F084B"/>
    <w:rsid w:val="007F0AB9"/>
    <w:rsid w:val="007F0D86"/>
    <w:rsid w:val="007F226C"/>
    <w:rsid w:val="007F39CC"/>
    <w:rsid w:val="007F3FBF"/>
    <w:rsid w:val="007F41D3"/>
    <w:rsid w:val="00804668"/>
    <w:rsid w:val="00810777"/>
    <w:rsid w:val="0081120E"/>
    <w:rsid w:val="00811CA3"/>
    <w:rsid w:val="00814399"/>
    <w:rsid w:val="00814948"/>
    <w:rsid w:val="00815C7F"/>
    <w:rsid w:val="00817721"/>
    <w:rsid w:val="00822083"/>
    <w:rsid w:val="00823643"/>
    <w:rsid w:val="00826DC3"/>
    <w:rsid w:val="00827DE5"/>
    <w:rsid w:val="0083019D"/>
    <w:rsid w:val="00830860"/>
    <w:rsid w:val="008316B8"/>
    <w:rsid w:val="00832175"/>
    <w:rsid w:val="00832976"/>
    <w:rsid w:val="00836C04"/>
    <w:rsid w:val="0083735C"/>
    <w:rsid w:val="00841351"/>
    <w:rsid w:val="008413A4"/>
    <w:rsid w:val="00842C82"/>
    <w:rsid w:val="00843ACF"/>
    <w:rsid w:val="00843BB6"/>
    <w:rsid w:val="00845C47"/>
    <w:rsid w:val="00846C5A"/>
    <w:rsid w:val="00847704"/>
    <w:rsid w:val="008506B0"/>
    <w:rsid w:val="0085086D"/>
    <w:rsid w:val="00851CF4"/>
    <w:rsid w:val="00851EA9"/>
    <w:rsid w:val="00852000"/>
    <w:rsid w:val="00854B88"/>
    <w:rsid w:val="00856BAF"/>
    <w:rsid w:val="00861942"/>
    <w:rsid w:val="008629B6"/>
    <w:rsid w:val="008639A3"/>
    <w:rsid w:val="00866395"/>
    <w:rsid w:val="00870816"/>
    <w:rsid w:val="008714D1"/>
    <w:rsid w:val="0087201D"/>
    <w:rsid w:val="00872D18"/>
    <w:rsid w:val="00872F4C"/>
    <w:rsid w:val="00873B1E"/>
    <w:rsid w:val="008745AE"/>
    <w:rsid w:val="00874D18"/>
    <w:rsid w:val="00875BE3"/>
    <w:rsid w:val="00880EEC"/>
    <w:rsid w:val="00880FCD"/>
    <w:rsid w:val="0088226E"/>
    <w:rsid w:val="008825F4"/>
    <w:rsid w:val="008836A2"/>
    <w:rsid w:val="00884792"/>
    <w:rsid w:val="00884E5E"/>
    <w:rsid w:val="0088533F"/>
    <w:rsid w:val="00890517"/>
    <w:rsid w:val="008908FD"/>
    <w:rsid w:val="008919C6"/>
    <w:rsid w:val="0089257B"/>
    <w:rsid w:val="008928BC"/>
    <w:rsid w:val="00894228"/>
    <w:rsid w:val="00895993"/>
    <w:rsid w:val="00895F7E"/>
    <w:rsid w:val="00896D47"/>
    <w:rsid w:val="008A0AF9"/>
    <w:rsid w:val="008A3BDA"/>
    <w:rsid w:val="008A4C31"/>
    <w:rsid w:val="008A76EA"/>
    <w:rsid w:val="008A7B5E"/>
    <w:rsid w:val="008B0E5F"/>
    <w:rsid w:val="008B6B38"/>
    <w:rsid w:val="008B7246"/>
    <w:rsid w:val="008B76BA"/>
    <w:rsid w:val="008C49F1"/>
    <w:rsid w:val="008C7A2A"/>
    <w:rsid w:val="008D0E78"/>
    <w:rsid w:val="008D3061"/>
    <w:rsid w:val="008D3409"/>
    <w:rsid w:val="008D35D4"/>
    <w:rsid w:val="008D36DD"/>
    <w:rsid w:val="008D3CCA"/>
    <w:rsid w:val="008D73B1"/>
    <w:rsid w:val="008E4261"/>
    <w:rsid w:val="008E455D"/>
    <w:rsid w:val="008E55CB"/>
    <w:rsid w:val="008E6C58"/>
    <w:rsid w:val="008E7276"/>
    <w:rsid w:val="008F360A"/>
    <w:rsid w:val="008F3998"/>
    <w:rsid w:val="008F3E2A"/>
    <w:rsid w:val="008F633F"/>
    <w:rsid w:val="00900652"/>
    <w:rsid w:val="009037CD"/>
    <w:rsid w:val="00904A72"/>
    <w:rsid w:val="00910CD2"/>
    <w:rsid w:val="00911507"/>
    <w:rsid w:val="009126C7"/>
    <w:rsid w:val="00913F96"/>
    <w:rsid w:val="00915074"/>
    <w:rsid w:val="00917152"/>
    <w:rsid w:val="009177FE"/>
    <w:rsid w:val="00917F2D"/>
    <w:rsid w:val="00920306"/>
    <w:rsid w:val="009216DD"/>
    <w:rsid w:val="009217CD"/>
    <w:rsid w:val="009248FE"/>
    <w:rsid w:val="00924AB1"/>
    <w:rsid w:val="00925D21"/>
    <w:rsid w:val="00926A42"/>
    <w:rsid w:val="00926A89"/>
    <w:rsid w:val="00931B72"/>
    <w:rsid w:val="00932304"/>
    <w:rsid w:val="009340BA"/>
    <w:rsid w:val="00934179"/>
    <w:rsid w:val="00936A31"/>
    <w:rsid w:val="009403C1"/>
    <w:rsid w:val="00940927"/>
    <w:rsid w:val="00942EF1"/>
    <w:rsid w:val="00943087"/>
    <w:rsid w:val="00947ABC"/>
    <w:rsid w:val="0095658E"/>
    <w:rsid w:val="00956D66"/>
    <w:rsid w:val="0096050A"/>
    <w:rsid w:val="009618FE"/>
    <w:rsid w:val="0096196F"/>
    <w:rsid w:val="0096298B"/>
    <w:rsid w:val="009634C8"/>
    <w:rsid w:val="00967FDC"/>
    <w:rsid w:val="009700EF"/>
    <w:rsid w:val="0097048C"/>
    <w:rsid w:val="00970493"/>
    <w:rsid w:val="009748C4"/>
    <w:rsid w:val="00974FDA"/>
    <w:rsid w:val="0097578D"/>
    <w:rsid w:val="00976CE5"/>
    <w:rsid w:val="00982E45"/>
    <w:rsid w:val="0098525C"/>
    <w:rsid w:val="0099288A"/>
    <w:rsid w:val="00992E92"/>
    <w:rsid w:val="009937CC"/>
    <w:rsid w:val="00993D74"/>
    <w:rsid w:val="009A094F"/>
    <w:rsid w:val="009A2170"/>
    <w:rsid w:val="009A3C85"/>
    <w:rsid w:val="009A4FAD"/>
    <w:rsid w:val="009A6EEF"/>
    <w:rsid w:val="009B0B84"/>
    <w:rsid w:val="009B0D08"/>
    <w:rsid w:val="009B1D3C"/>
    <w:rsid w:val="009B20BA"/>
    <w:rsid w:val="009B35AC"/>
    <w:rsid w:val="009B362E"/>
    <w:rsid w:val="009B3F36"/>
    <w:rsid w:val="009B3FAD"/>
    <w:rsid w:val="009B56C2"/>
    <w:rsid w:val="009B6068"/>
    <w:rsid w:val="009B6340"/>
    <w:rsid w:val="009C3897"/>
    <w:rsid w:val="009C545A"/>
    <w:rsid w:val="009D1122"/>
    <w:rsid w:val="009D1338"/>
    <w:rsid w:val="009D5E3F"/>
    <w:rsid w:val="009E04B2"/>
    <w:rsid w:val="009E5022"/>
    <w:rsid w:val="009E538A"/>
    <w:rsid w:val="009E5729"/>
    <w:rsid w:val="009E66BD"/>
    <w:rsid w:val="009E6CFA"/>
    <w:rsid w:val="009E73E0"/>
    <w:rsid w:val="009F052E"/>
    <w:rsid w:val="009F0948"/>
    <w:rsid w:val="009F24CE"/>
    <w:rsid w:val="009F453F"/>
    <w:rsid w:val="009F4797"/>
    <w:rsid w:val="009F4969"/>
    <w:rsid w:val="009F4F9A"/>
    <w:rsid w:val="009F58B4"/>
    <w:rsid w:val="00A012C3"/>
    <w:rsid w:val="00A019FB"/>
    <w:rsid w:val="00A03B21"/>
    <w:rsid w:val="00A0424D"/>
    <w:rsid w:val="00A07D0E"/>
    <w:rsid w:val="00A102F2"/>
    <w:rsid w:val="00A10FE1"/>
    <w:rsid w:val="00A15995"/>
    <w:rsid w:val="00A16DD5"/>
    <w:rsid w:val="00A22069"/>
    <w:rsid w:val="00A22AFD"/>
    <w:rsid w:val="00A231B7"/>
    <w:rsid w:val="00A25B97"/>
    <w:rsid w:val="00A263A6"/>
    <w:rsid w:val="00A2682C"/>
    <w:rsid w:val="00A3012C"/>
    <w:rsid w:val="00A32C8E"/>
    <w:rsid w:val="00A33E77"/>
    <w:rsid w:val="00A345E9"/>
    <w:rsid w:val="00A36326"/>
    <w:rsid w:val="00A4131A"/>
    <w:rsid w:val="00A42064"/>
    <w:rsid w:val="00A426E7"/>
    <w:rsid w:val="00A451C4"/>
    <w:rsid w:val="00A4647D"/>
    <w:rsid w:val="00A465F6"/>
    <w:rsid w:val="00A46B71"/>
    <w:rsid w:val="00A51E74"/>
    <w:rsid w:val="00A52944"/>
    <w:rsid w:val="00A5319D"/>
    <w:rsid w:val="00A5446B"/>
    <w:rsid w:val="00A54AEF"/>
    <w:rsid w:val="00A55124"/>
    <w:rsid w:val="00A56414"/>
    <w:rsid w:val="00A56A66"/>
    <w:rsid w:val="00A57DBF"/>
    <w:rsid w:val="00A615CF"/>
    <w:rsid w:val="00A623D6"/>
    <w:rsid w:val="00A63A86"/>
    <w:rsid w:val="00A63B39"/>
    <w:rsid w:val="00A63ECD"/>
    <w:rsid w:val="00A64093"/>
    <w:rsid w:val="00A64C80"/>
    <w:rsid w:val="00A65A7A"/>
    <w:rsid w:val="00A66922"/>
    <w:rsid w:val="00A67FE6"/>
    <w:rsid w:val="00A71BD2"/>
    <w:rsid w:val="00A7498F"/>
    <w:rsid w:val="00A74E27"/>
    <w:rsid w:val="00A808D5"/>
    <w:rsid w:val="00A84F2B"/>
    <w:rsid w:val="00A85927"/>
    <w:rsid w:val="00A863CE"/>
    <w:rsid w:val="00A86FA5"/>
    <w:rsid w:val="00A908BA"/>
    <w:rsid w:val="00A908E2"/>
    <w:rsid w:val="00A91183"/>
    <w:rsid w:val="00A94533"/>
    <w:rsid w:val="00A95964"/>
    <w:rsid w:val="00A970B5"/>
    <w:rsid w:val="00A9713D"/>
    <w:rsid w:val="00A97D9E"/>
    <w:rsid w:val="00A97FE4"/>
    <w:rsid w:val="00AA067F"/>
    <w:rsid w:val="00AA1019"/>
    <w:rsid w:val="00AA2FBD"/>
    <w:rsid w:val="00AA5B47"/>
    <w:rsid w:val="00AA5BB6"/>
    <w:rsid w:val="00AA673B"/>
    <w:rsid w:val="00AA68DD"/>
    <w:rsid w:val="00AB03DD"/>
    <w:rsid w:val="00AB0466"/>
    <w:rsid w:val="00AB0973"/>
    <w:rsid w:val="00AB09C9"/>
    <w:rsid w:val="00AB10A6"/>
    <w:rsid w:val="00AB2BAF"/>
    <w:rsid w:val="00AB392C"/>
    <w:rsid w:val="00AB3A2B"/>
    <w:rsid w:val="00AB3AB2"/>
    <w:rsid w:val="00AB478F"/>
    <w:rsid w:val="00AB532B"/>
    <w:rsid w:val="00AB6C08"/>
    <w:rsid w:val="00AB784F"/>
    <w:rsid w:val="00AC0168"/>
    <w:rsid w:val="00AC1CF6"/>
    <w:rsid w:val="00AC3266"/>
    <w:rsid w:val="00AC6A8C"/>
    <w:rsid w:val="00AC7044"/>
    <w:rsid w:val="00AC7339"/>
    <w:rsid w:val="00AD0D6D"/>
    <w:rsid w:val="00AD1E87"/>
    <w:rsid w:val="00AD4889"/>
    <w:rsid w:val="00AD7687"/>
    <w:rsid w:val="00AE16F1"/>
    <w:rsid w:val="00AE19CB"/>
    <w:rsid w:val="00AE23D3"/>
    <w:rsid w:val="00AE7068"/>
    <w:rsid w:val="00AE7ADB"/>
    <w:rsid w:val="00AF0039"/>
    <w:rsid w:val="00AF01F9"/>
    <w:rsid w:val="00AF10A8"/>
    <w:rsid w:val="00AF1F67"/>
    <w:rsid w:val="00AF5C1E"/>
    <w:rsid w:val="00AF6885"/>
    <w:rsid w:val="00B0232C"/>
    <w:rsid w:val="00B070CF"/>
    <w:rsid w:val="00B11B98"/>
    <w:rsid w:val="00B12154"/>
    <w:rsid w:val="00B12CB3"/>
    <w:rsid w:val="00B14CB5"/>
    <w:rsid w:val="00B15500"/>
    <w:rsid w:val="00B178DF"/>
    <w:rsid w:val="00B2028E"/>
    <w:rsid w:val="00B20D06"/>
    <w:rsid w:val="00B21CBD"/>
    <w:rsid w:val="00B254D8"/>
    <w:rsid w:val="00B25EB2"/>
    <w:rsid w:val="00B30ECB"/>
    <w:rsid w:val="00B312C8"/>
    <w:rsid w:val="00B341DC"/>
    <w:rsid w:val="00B34610"/>
    <w:rsid w:val="00B34ABB"/>
    <w:rsid w:val="00B357C0"/>
    <w:rsid w:val="00B35EB4"/>
    <w:rsid w:val="00B36109"/>
    <w:rsid w:val="00B40738"/>
    <w:rsid w:val="00B408FB"/>
    <w:rsid w:val="00B413E5"/>
    <w:rsid w:val="00B41E48"/>
    <w:rsid w:val="00B42FD4"/>
    <w:rsid w:val="00B43872"/>
    <w:rsid w:val="00B44385"/>
    <w:rsid w:val="00B44D85"/>
    <w:rsid w:val="00B46A24"/>
    <w:rsid w:val="00B46E5F"/>
    <w:rsid w:val="00B472FD"/>
    <w:rsid w:val="00B474A1"/>
    <w:rsid w:val="00B4758B"/>
    <w:rsid w:val="00B5023E"/>
    <w:rsid w:val="00B50418"/>
    <w:rsid w:val="00B509FD"/>
    <w:rsid w:val="00B50FCE"/>
    <w:rsid w:val="00B511A6"/>
    <w:rsid w:val="00B518D5"/>
    <w:rsid w:val="00B519D1"/>
    <w:rsid w:val="00B51D2F"/>
    <w:rsid w:val="00B525D3"/>
    <w:rsid w:val="00B532EA"/>
    <w:rsid w:val="00B53EB5"/>
    <w:rsid w:val="00B551B8"/>
    <w:rsid w:val="00B5554A"/>
    <w:rsid w:val="00B55E7A"/>
    <w:rsid w:val="00B573C7"/>
    <w:rsid w:val="00B6020D"/>
    <w:rsid w:val="00B61FC9"/>
    <w:rsid w:val="00B62299"/>
    <w:rsid w:val="00B63699"/>
    <w:rsid w:val="00B66C11"/>
    <w:rsid w:val="00B66E53"/>
    <w:rsid w:val="00B6777E"/>
    <w:rsid w:val="00B70319"/>
    <w:rsid w:val="00B70EB8"/>
    <w:rsid w:val="00B71186"/>
    <w:rsid w:val="00B717B1"/>
    <w:rsid w:val="00B7192A"/>
    <w:rsid w:val="00B71BF1"/>
    <w:rsid w:val="00B71D12"/>
    <w:rsid w:val="00B71F6D"/>
    <w:rsid w:val="00B72A27"/>
    <w:rsid w:val="00B72C4A"/>
    <w:rsid w:val="00B753CA"/>
    <w:rsid w:val="00B76698"/>
    <w:rsid w:val="00B76B19"/>
    <w:rsid w:val="00B76FBC"/>
    <w:rsid w:val="00B77491"/>
    <w:rsid w:val="00B77A7C"/>
    <w:rsid w:val="00B800AB"/>
    <w:rsid w:val="00B80C82"/>
    <w:rsid w:val="00B81572"/>
    <w:rsid w:val="00B8375A"/>
    <w:rsid w:val="00B86F6E"/>
    <w:rsid w:val="00B870B5"/>
    <w:rsid w:val="00B93EAA"/>
    <w:rsid w:val="00B965C5"/>
    <w:rsid w:val="00B96BD5"/>
    <w:rsid w:val="00B972F1"/>
    <w:rsid w:val="00BA0E27"/>
    <w:rsid w:val="00BA30AE"/>
    <w:rsid w:val="00BA4971"/>
    <w:rsid w:val="00BA5533"/>
    <w:rsid w:val="00BA593B"/>
    <w:rsid w:val="00BA7E42"/>
    <w:rsid w:val="00BB1C6A"/>
    <w:rsid w:val="00BB579E"/>
    <w:rsid w:val="00BC11A8"/>
    <w:rsid w:val="00BC2BD2"/>
    <w:rsid w:val="00BC3F02"/>
    <w:rsid w:val="00BC40CD"/>
    <w:rsid w:val="00BC4B5E"/>
    <w:rsid w:val="00BD761D"/>
    <w:rsid w:val="00BD783A"/>
    <w:rsid w:val="00BE1D27"/>
    <w:rsid w:val="00BE473C"/>
    <w:rsid w:val="00BE620A"/>
    <w:rsid w:val="00BE6AAE"/>
    <w:rsid w:val="00BE7B6E"/>
    <w:rsid w:val="00BF06CF"/>
    <w:rsid w:val="00BF1C05"/>
    <w:rsid w:val="00BF2620"/>
    <w:rsid w:val="00BF373C"/>
    <w:rsid w:val="00BF6C6C"/>
    <w:rsid w:val="00BF7DF3"/>
    <w:rsid w:val="00C00552"/>
    <w:rsid w:val="00C00B3A"/>
    <w:rsid w:val="00C01949"/>
    <w:rsid w:val="00C03B9E"/>
    <w:rsid w:val="00C065A6"/>
    <w:rsid w:val="00C07422"/>
    <w:rsid w:val="00C1033D"/>
    <w:rsid w:val="00C1233C"/>
    <w:rsid w:val="00C1470C"/>
    <w:rsid w:val="00C15F01"/>
    <w:rsid w:val="00C16D53"/>
    <w:rsid w:val="00C20B38"/>
    <w:rsid w:val="00C33D3C"/>
    <w:rsid w:val="00C33E91"/>
    <w:rsid w:val="00C34EDA"/>
    <w:rsid w:val="00C35142"/>
    <w:rsid w:val="00C36C15"/>
    <w:rsid w:val="00C378CA"/>
    <w:rsid w:val="00C41DD3"/>
    <w:rsid w:val="00C42278"/>
    <w:rsid w:val="00C46043"/>
    <w:rsid w:val="00C46767"/>
    <w:rsid w:val="00C50071"/>
    <w:rsid w:val="00C50C68"/>
    <w:rsid w:val="00C52AC5"/>
    <w:rsid w:val="00C531FE"/>
    <w:rsid w:val="00C5339B"/>
    <w:rsid w:val="00C538D7"/>
    <w:rsid w:val="00C53B22"/>
    <w:rsid w:val="00C56730"/>
    <w:rsid w:val="00C57F05"/>
    <w:rsid w:val="00C60757"/>
    <w:rsid w:val="00C61D1C"/>
    <w:rsid w:val="00C63CA3"/>
    <w:rsid w:val="00C65099"/>
    <w:rsid w:val="00C65D54"/>
    <w:rsid w:val="00C6642C"/>
    <w:rsid w:val="00C72A9D"/>
    <w:rsid w:val="00C72AA6"/>
    <w:rsid w:val="00C74C40"/>
    <w:rsid w:val="00C80A64"/>
    <w:rsid w:val="00C8219D"/>
    <w:rsid w:val="00C824AB"/>
    <w:rsid w:val="00C84FB0"/>
    <w:rsid w:val="00C86FB5"/>
    <w:rsid w:val="00C87F2E"/>
    <w:rsid w:val="00C90BC7"/>
    <w:rsid w:val="00C918AA"/>
    <w:rsid w:val="00C92800"/>
    <w:rsid w:val="00C92F9A"/>
    <w:rsid w:val="00C931D7"/>
    <w:rsid w:val="00C93D2E"/>
    <w:rsid w:val="00C949A4"/>
    <w:rsid w:val="00C94B71"/>
    <w:rsid w:val="00C95FC4"/>
    <w:rsid w:val="00C9602D"/>
    <w:rsid w:val="00C96354"/>
    <w:rsid w:val="00C97F6E"/>
    <w:rsid w:val="00CA501B"/>
    <w:rsid w:val="00CA6885"/>
    <w:rsid w:val="00CB1561"/>
    <w:rsid w:val="00CB3A45"/>
    <w:rsid w:val="00CB3F13"/>
    <w:rsid w:val="00CB4906"/>
    <w:rsid w:val="00CB5897"/>
    <w:rsid w:val="00CB79B1"/>
    <w:rsid w:val="00CC0349"/>
    <w:rsid w:val="00CC212C"/>
    <w:rsid w:val="00CC3626"/>
    <w:rsid w:val="00CD00D2"/>
    <w:rsid w:val="00CD0AB5"/>
    <w:rsid w:val="00CD35CF"/>
    <w:rsid w:val="00CD53FF"/>
    <w:rsid w:val="00CD6497"/>
    <w:rsid w:val="00CD782A"/>
    <w:rsid w:val="00CE230B"/>
    <w:rsid w:val="00CE4611"/>
    <w:rsid w:val="00CE57DE"/>
    <w:rsid w:val="00CE69C8"/>
    <w:rsid w:val="00CF0241"/>
    <w:rsid w:val="00CF20BC"/>
    <w:rsid w:val="00CF2DB2"/>
    <w:rsid w:val="00CF478F"/>
    <w:rsid w:val="00CF5593"/>
    <w:rsid w:val="00CF6704"/>
    <w:rsid w:val="00CF789C"/>
    <w:rsid w:val="00D00CA1"/>
    <w:rsid w:val="00D01013"/>
    <w:rsid w:val="00D06103"/>
    <w:rsid w:val="00D10611"/>
    <w:rsid w:val="00D12E66"/>
    <w:rsid w:val="00D13AF5"/>
    <w:rsid w:val="00D13EA8"/>
    <w:rsid w:val="00D15132"/>
    <w:rsid w:val="00D154EC"/>
    <w:rsid w:val="00D16F0A"/>
    <w:rsid w:val="00D17288"/>
    <w:rsid w:val="00D17D94"/>
    <w:rsid w:val="00D204AE"/>
    <w:rsid w:val="00D20C7D"/>
    <w:rsid w:val="00D22798"/>
    <w:rsid w:val="00D25AB8"/>
    <w:rsid w:val="00D25DA2"/>
    <w:rsid w:val="00D31130"/>
    <w:rsid w:val="00D31560"/>
    <w:rsid w:val="00D31720"/>
    <w:rsid w:val="00D3195B"/>
    <w:rsid w:val="00D31B4C"/>
    <w:rsid w:val="00D32D8A"/>
    <w:rsid w:val="00D342BC"/>
    <w:rsid w:val="00D355E1"/>
    <w:rsid w:val="00D36F1A"/>
    <w:rsid w:val="00D37EFF"/>
    <w:rsid w:val="00D40786"/>
    <w:rsid w:val="00D41874"/>
    <w:rsid w:val="00D42658"/>
    <w:rsid w:val="00D43922"/>
    <w:rsid w:val="00D448CC"/>
    <w:rsid w:val="00D44932"/>
    <w:rsid w:val="00D4632D"/>
    <w:rsid w:val="00D514ED"/>
    <w:rsid w:val="00D54B48"/>
    <w:rsid w:val="00D55347"/>
    <w:rsid w:val="00D55C2A"/>
    <w:rsid w:val="00D564C0"/>
    <w:rsid w:val="00D57217"/>
    <w:rsid w:val="00D624D3"/>
    <w:rsid w:val="00D62A43"/>
    <w:rsid w:val="00D62F96"/>
    <w:rsid w:val="00D63CC1"/>
    <w:rsid w:val="00D65609"/>
    <w:rsid w:val="00D65F2A"/>
    <w:rsid w:val="00D66DA2"/>
    <w:rsid w:val="00D67510"/>
    <w:rsid w:val="00D72719"/>
    <w:rsid w:val="00D72AAF"/>
    <w:rsid w:val="00D72C20"/>
    <w:rsid w:val="00D72FEA"/>
    <w:rsid w:val="00D73F02"/>
    <w:rsid w:val="00D76234"/>
    <w:rsid w:val="00D802F5"/>
    <w:rsid w:val="00D84F04"/>
    <w:rsid w:val="00D85AA6"/>
    <w:rsid w:val="00D91F4D"/>
    <w:rsid w:val="00D928D5"/>
    <w:rsid w:val="00D92AE7"/>
    <w:rsid w:val="00D93FC3"/>
    <w:rsid w:val="00D964D0"/>
    <w:rsid w:val="00D965B5"/>
    <w:rsid w:val="00D96DCA"/>
    <w:rsid w:val="00DA1C30"/>
    <w:rsid w:val="00DA6C2A"/>
    <w:rsid w:val="00DA7AFB"/>
    <w:rsid w:val="00DB062B"/>
    <w:rsid w:val="00DB1C08"/>
    <w:rsid w:val="00DB234E"/>
    <w:rsid w:val="00DB3414"/>
    <w:rsid w:val="00DB499B"/>
    <w:rsid w:val="00DB6D0A"/>
    <w:rsid w:val="00DC0C3E"/>
    <w:rsid w:val="00DC0EEA"/>
    <w:rsid w:val="00DC24C4"/>
    <w:rsid w:val="00DC2854"/>
    <w:rsid w:val="00DC40B1"/>
    <w:rsid w:val="00DD00DE"/>
    <w:rsid w:val="00DD055E"/>
    <w:rsid w:val="00DD13A3"/>
    <w:rsid w:val="00DD3DB1"/>
    <w:rsid w:val="00DE0005"/>
    <w:rsid w:val="00DE073E"/>
    <w:rsid w:val="00DE09D1"/>
    <w:rsid w:val="00DE0B08"/>
    <w:rsid w:val="00DE0E72"/>
    <w:rsid w:val="00DE25B0"/>
    <w:rsid w:val="00DE2D50"/>
    <w:rsid w:val="00DE4941"/>
    <w:rsid w:val="00DE59BC"/>
    <w:rsid w:val="00DE6157"/>
    <w:rsid w:val="00DE72D0"/>
    <w:rsid w:val="00DF2C6C"/>
    <w:rsid w:val="00DF2C97"/>
    <w:rsid w:val="00DF4E96"/>
    <w:rsid w:val="00DF5438"/>
    <w:rsid w:val="00DF5887"/>
    <w:rsid w:val="00DF6304"/>
    <w:rsid w:val="00DF6637"/>
    <w:rsid w:val="00E0289D"/>
    <w:rsid w:val="00E04215"/>
    <w:rsid w:val="00E052B2"/>
    <w:rsid w:val="00E06721"/>
    <w:rsid w:val="00E07F8E"/>
    <w:rsid w:val="00E10631"/>
    <w:rsid w:val="00E110BE"/>
    <w:rsid w:val="00E12755"/>
    <w:rsid w:val="00E12C16"/>
    <w:rsid w:val="00E13481"/>
    <w:rsid w:val="00E14984"/>
    <w:rsid w:val="00E16162"/>
    <w:rsid w:val="00E17975"/>
    <w:rsid w:val="00E21188"/>
    <w:rsid w:val="00E23A32"/>
    <w:rsid w:val="00E24315"/>
    <w:rsid w:val="00E274BD"/>
    <w:rsid w:val="00E27630"/>
    <w:rsid w:val="00E31437"/>
    <w:rsid w:val="00E32FBB"/>
    <w:rsid w:val="00E3534F"/>
    <w:rsid w:val="00E408FB"/>
    <w:rsid w:val="00E41BDA"/>
    <w:rsid w:val="00E42026"/>
    <w:rsid w:val="00E4308E"/>
    <w:rsid w:val="00E44EBE"/>
    <w:rsid w:val="00E4510F"/>
    <w:rsid w:val="00E465BC"/>
    <w:rsid w:val="00E46B17"/>
    <w:rsid w:val="00E46E09"/>
    <w:rsid w:val="00E46E2D"/>
    <w:rsid w:val="00E541D3"/>
    <w:rsid w:val="00E54D6D"/>
    <w:rsid w:val="00E567BF"/>
    <w:rsid w:val="00E57D1F"/>
    <w:rsid w:val="00E610B3"/>
    <w:rsid w:val="00E627AC"/>
    <w:rsid w:val="00E62EEC"/>
    <w:rsid w:val="00E62F2A"/>
    <w:rsid w:val="00E66762"/>
    <w:rsid w:val="00E66ECD"/>
    <w:rsid w:val="00E70767"/>
    <w:rsid w:val="00E70A36"/>
    <w:rsid w:val="00E71599"/>
    <w:rsid w:val="00E715CC"/>
    <w:rsid w:val="00E72D1F"/>
    <w:rsid w:val="00E758C5"/>
    <w:rsid w:val="00E805E0"/>
    <w:rsid w:val="00E834B0"/>
    <w:rsid w:val="00E84091"/>
    <w:rsid w:val="00E853A3"/>
    <w:rsid w:val="00E86218"/>
    <w:rsid w:val="00E86312"/>
    <w:rsid w:val="00E86CC7"/>
    <w:rsid w:val="00E86DE7"/>
    <w:rsid w:val="00E91AF2"/>
    <w:rsid w:val="00E930C4"/>
    <w:rsid w:val="00E93A13"/>
    <w:rsid w:val="00E94339"/>
    <w:rsid w:val="00E944D4"/>
    <w:rsid w:val="00E94A05"/>
    <w:rsid w:val="00E96D70"/>
    <w:rsid w:val="00E97172"/>
    <w:rsid w:val="00E9739C"/>
    <w:rsid w:val="00E97BED"/>
    <w:rsid w:val="00E97C53"/>
    <w:rsid w:val="00EA11FD"/>
    <w:rsid w:val="00EA2529"/>
    <w:rsid w:val="00EA2F0C"/>
    <w:rsid w:val="00EA443B"/>
    <w:rsid w:val="00EA7C58"/>
    <w:rsid w:val="00EB0338"/>
    <w:rsid w:val="00EB0EEF"/>
    <w:rsid w:val="00EB2A32"/>
    <w:rsid w:val="00EB2F5F"/>
    <w:rsid w:val="00EB3215"/>
    <w:rsid w:val="00EB3870"/>
    <w:rsid w:val="00EB3A0B"/>
    <w:rsid w:val="00EB4EDA"/>
    <w:rsid w:val="00EB5C17"/>
    <w:rsid w:val="00EB639C"/>
    <w:rsid w:val="00EB66AC"/>
    <w:rsid w:val="00EB6BD6"/>
    <w:rsid w:val="00EC2630"/>
    <w:rsid w:val="00EC7FD7"/>
    <w:rsid w:val="00ED074B"/>
    <w:rsid w:val="00ED0849"/>
    <w:rsid w:val="00ED4C58"/>
    <w:rsid w:val="00EE020C"/>
    <w:rsid w:val="00EE156C"/>
    <w:rsid w:val="00EE4175"/>
    <w:rsid w:val="00EE69C8"/>
    <w:rsid w:val="00EF097B"/>
    <w:rsid w:val="00EF0B87"/>
    <w:rsid w:val="00EF26B9"/>
    <w:rsid w:val="00EF2E6B"/>
    <w:rsid w:val="00EF2F31"/>
    <w:rsid w:val="00EF36F2"/>
    <w:rsid w:val="00EF40E7"/>
    <w:rsid w:val="00EF5621"/>
    <w:rsid w:val="00EF79F7"/>
    <w:rsid w:val="00F01884"/>
    <w:rsid w:val="00F03603"/>
    <w:rsid w:val="00F05AAF"/>
    <w:rsid w:val="00F06E9F"/>
    <w:rsid w:val="00F11FD7"/>
    <w:rsid w:val="00F12070"/>
    <w:rsid w:val="00F14B3B"/>
    <w:rsid w:val="00F16008"/>
    <w:rsid w:val="00F17E5C"/>
    <w:rsid w:val="00F22E1C"/>
    <w:rsid w:val="00F244AE"/>
    <w:rsid w:val="00F2461A"/>
    <w:rsid w:val="00F24C08"/>
    <w:rsid w:val="00F24F38"/>
    <w:rsid w:val="00F27CE7"/>
    <w:rsid w:val="00F3349D"/>
    <w:rsid w:val="00F3471B"/>
    <w:rsid w:val="00F35D8C"/>
    <w:rsid w:val="00F37E23"/>
    <w:rsid w:val="00F37F70"/>
    <w:rsid w:val="00F37FAF"/>
    <w:rsid w:val="00F42FA9"/>
    <w:rsid w:val="00F447FC"/>
    <w:rsid w:val="00F44EE9"/>
    <w:rsid w:val="00F46534"/>
    <w:rsid w:val="00F46D99"/>
    <w:rsid w:val="00F47451"/>
    <w:rsid w:val="00F47C7D"/>
    <w:rsid w:val="00F5282F"/>
    <w:rsid w:val="00F565A6"/>
    <w:rsid w:val="00F60D34"/>
    <w:rsid w:val="00F61889"/>
    <w:rsid w:val="00F620D9"/>
    <w:rsid w:val="00F64864"/>
    <w:rsid w:val="00F673BE"/>
    <w:rsid w:val="00F6793C"/>
    <w:rsid w:val="00F70530"/>
    <w:rsid w:val="00F70D70"/>
    <w:rsid w:val="00F71DE4"/>
    <w:rsid w:val="00F7516C"/>
    <w:rsid w:val="00F7711F"/>
    <w:rsid w:val="00F83CA8"/>
    <w:rsid w:val="00F841D4"/>
    <w:rsid w:val="00F846B5"/>
    <w:rsid w:val="00F869C3"/>
    <w:rsid w:val="00F902D1"/>
    <w:rsid w:val="00F91839"/>
    <w:rsid w:val="00F9390E"/>
    <w:rsid w:val="00F942C3"/>
    <w:rsid w:val="00F95137"/>
    <w:rsid w:val="00F96DCA"/>
    <w:rsid w:val="00F96E72"/>
    <w:rsid w:val="00FA086D"/>
    <w:rsid w:val="00FA0B1B"/>
    <w:rsid w:val="00FA1908"/>
    <w:rsid w:val="00FA6A50"/>
    <w:rsid w:val="00FB070C"/>
    <w:rsid w:val="00FB0724"/>
    <w:rsid w:val="00FB3EB2"/>
    <w:rsid w:val="00FC0285"/>
    <w:rsid w:val="00FC1C1D"/>
    <w:rsid w:val="00FC20A5"/>
    <w:rsid w:val="00FC28EE"/>
    <w:rsid w:val="00FC440A"/>
    <w:rsid w:val="00FC4B6A"/>
    <w:rsid w:val="00FC4F2F"/>
    <w:rsid w:val="00FC774F"/>
    <w:rsid w:val="00FC7954"/>
    <w:rsid w:val="00FD0884"/>
    <w:rsid w:val="00FD1F6D"/>
    <w:rsid w:val="00FD21E2"/>
    <w:rsid w:val="00FD2599"/>
    <w:rsid w:val="00FD38BA"/>
    <w:rsid w:val="00FD52A5"/>
    <w:rsid w:val="00FD6B38"/>
    <w:rsid w:val="00FE3079"/>
    <w:rsid w:val="00FE3160"/>
    <w:rsid w:val="00FE4E2A"/>
    <w:rsid w:val="00FE7D8D"/>
    <w:rsid w:val="00FF164D"/>
    <w:rsid w:val="00FF40EB"/>
    <w:rsid w:val="00FF4558"/>
    <w:rsid w:val="00FF5AF6"/>
    <w:rsid w:val="00FF6211"/>
    <w:rsid w:val="00FF7613"/>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093"/>
    <w:pPr>
      <w:widowControl w:val="0"/>
      <w:adjustRightInd w:val="0"/>
      <w:spacing w:line="360" w:lineRule="atLeast"/>
      <w:jc w:val="both"/>
      <w:textAlignment w:val="baseline"/>
    </w:pPr>
    <w:rPr>
      <w:rFonts w:ascii="Arial" w:hAnsi="Arial"/>
      <w:sz w:val="24"/>
      <w:lang w:val="es-ES"/>
    </w:rPr>
  </w:style>
  <w:style w:type="paragraph" w:styleId="Ttulo1">
    <w:name w:val="heading 1"/>
    <w:basedOn w:val="Normal"/>
    <w:next w:val="Normal"/>
    <w:qFormat/>
    <w:rsid w:val="001D6999"/>
    <w:pPr>
      <w:keepNext/>
      <w:spacing w:before="240" w:after="60"/>
      <w:outlineLvl w:val="0"/>
    </w:pPr>
    <w:rPr>
      <w:rFonts w:cs="Arial"/>
      <w:b/>
      <w:bCs/>
      <w:kern w:val="32"/>
      <w:sz w:val="32"/>
      <w:szCs w:val="32"/>
    </w:rPr>
  </w:style>
  <w:style w:type="paragraph" w:styleId="Ttulo2">
    <w:name w:val="heading 2"/>
    <w:basedOn w:val="Normal"/>
    <w:next w:val="Normal"/>
    <w:qFormat/>
    <w:rsid w:val="00A64093"/>
    <w:pPr>
      <w:keepNext/>
      <w:spacing w:before="240" w:after="60"/>
      <w:outlineLvl w:val="1"/>
    </w:pPr>
    <w:rPr>
      <w:rFonts w:cs="Arial"/>
      <w:b/>
      <w:bCs/>
      <w:iCs/>
      <w:szCs w:val="28"/>
    </w:rPr>
  </w:style>
  <w:style w:type="paragraph" w:styleId="Ttulo3">
    <w:name w:val="heading 3"/>
    <w:basedOn w:val="Normal"/>
    <w:next w:val="Normal"/>
    <w:link w:val="Ttulo3Car"/>
    <w:uiPriority w:val="9"/>
    <w:semiHidden/>
    <w:unhideWhenUsed/>
    <w:qFormat/>
    <w:rsid w:val="00687EEE"/>
    <w:pPr>
      <w:keepNext/>
      <w:keepLines/>
      <w:widowControl/>
      <w:adjustRightInd/>
      <w:spacing w:before="200" w:line="240" w:lineRule="auto"/>
      <w:textAlignment w:val="auto"/>
      <w:outlineLvl w:val="2"/>
    </w:pPr>
    <w:rPr>
      <w:rFonts w:asciiTheme="majorHAnsi" w:eastAsiaTheme="majorEastAsia" w:hAnsiTheme="majorHAnsi" w:cstheme="majorBidi"/>
      <w:b/>
      <w:bCs/>
      <w:color w:val="4F81BD" w:themeColor="accent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EB66AC"/>
    <w:pPr>
      <w:ind w:left="720"/>
    </w:pPr>
    <w:rPr>
      <w:rFonts w:eastAsia="Calibri"/>
    </w:rPr>
  </w:style>
  <w:style w:type="paragraph" w:customStyle="1" w:styleId="Derechi">
    <w:name w:val="Derechi"/>
    <w:basedOn w:val="Normal"/>
    <w:rsid w:val="001D6999"/>
    <w:pPr>
      <w:widowControl/>
      <w:adjustRightInd/>
      <w:spacing w:line="240" w:lineRule="auto"/>
      <w:ind w:left="5954"/>
      <w:textAlignment w:val="auto"/>
    </w:pPr>
    <w:rPr>
      <w:snapToGrid w:val="0"/>
      <w:lang w:val="es-ES_tradnl" w:eastAsia="es-ES"/>
    </w:rPr>
  </w:style>
  <w:style w:type="paragraph" w:styleId="Ttulo">
    <w:name w:val="Title"/>
    <w:basedOn w:val="Normal"/>
    <w:qFormat/>
    <w:rsid w:val="001D6999"/>
    <w:pPr>
      <w:widowControl/>
      <w:adjustRightInd/>
      <w:spacing w:line="240" w:lineRule="auto"/>
      <w:ind w:left="142"/>
      <w:jc w:val="center"/>
      <w:textAlignment w:val="auto"/>
    </w:pPr>
    <w:rPr>
      <w:b/>
      <w:sz w:val="21"/>
      <w:lang w:val="es-ES_tradnl" w:eastAsia="es-ES"/>
    </w:rPr>
  </w:style>
  <w:style w:type="paragraph" w:styleId="Textonotapie">
    <w:name w:val="footnote text"/>
    <w:aliases w:val="Texto nota pie Car,fn Car,footnote text Car,Footnotes Car,Footnote ak Car Car,Texto nota pie Car Car,fn Car Car,footnote text Car Car,Footnotes Car Car,Footnote ak Car,Footnote Text Char,fn,footnote text,Footnotes,Footnote ak,ft,fn cafc"/>
    <w:basedOn w:val="Normal"/>
    <w:link w:val="TextonotapieCar1"/>
    <w:uiPriority w:val="99"/>
    <w:rsid w:val="00EF79F7"/>
    <w:rPr>
      <w:sz w:val="20"/>
    </w:rPr>
  </w:style>
  <w:style w:type="character" w:styleId="Refdenotaalpie">
    <w:name w:val="footnote reference"/>
    <w:aliases w:val="Ref,de nota al pie"/>
    <w:basedOn w:val="Fuentedeprrafopredeter"/>
    <w:uiPriority w:val="99"/>
    <w:rsid w:val="00EF79F7"/>
    <w:rPr>
      <w:vertAlign w:val="superscript"/>
    </w:rPr>
  </w:style>
  <w:style w:type="character" w:styleId="CitaHTML">
    <w:name w:val="HTML Cite"/>
    <w:basedOn w:val="Fuentedeprrafopredeter"/>
    <w:rsid w:val="00EF79F7"/>
    <w:rPr>
      <w:i/>
      <w:iCs/>
    </w:rPr>
  </w:style>
  <w:style w:type="character" w:styleId="Hipervnculo">
    <w:name w:val="Hyperlink"/>
    <w:basedOn w:val="Fuentedeprrafopredeter"/>
    <w:uiPriority w:val="99"/>
    <w:rsid w:val="00EF79F7"/>
    <w:rPr>
      <w:color w:val="0000FF"/>
      <w:u w:val="single"/>
    </w:rPr>
  </w:style>
  <w:style w:type="character" w:customStyle="1" w:styleId="TextonotapieCar1">
    <w:name w:val="Texto nota pie Car1"/>
    <w:aliases w:val="Texto nota pie Car Car1,fn Car Car1,footnote text Car Car1,Footnotes Car Car1,Footnote ak Car Car Car,Texto nota pie Car Car Car,fn Car Car Car,footnote text Car Car Car,Footnotes Car Car Car,Footnote ak Car Car1,fn Car1,ft Car"/>
    <w:basedOn w:val="Fuentedeprrafopredeter"/>
    <w:link w:val="Textonotapie"/>
    <w:rsid w:val="0011126F"/>
    <w:rPr>
      <w:rFonts w:ascii="Arial" w:hAnsi="Arial"/>
      <w:lang w:val="es-ES" w:eastAsia="es-PE" w:bidi="ar-SA"/>
    </w:rPr>
  </w:style>
  <w:style w:type="paragraph" w:styleId="Piedepgina">
    <w:name w:val="footer"/>
    <w:basedOn w:val="Normal"/>
    <w:link w:val="PiedepginaCar"/>
    <w:uiPriority w:val="99"/>
    <w:rsid w:val="005C23FB"/>
    <w:pPr>
      <w:widowControl/>
      <w:tabs>
        <w:tab w:val="center" w:pos="4252"/>
        <w:tab w:val="right" w:pos="8504"/>
      </w:tabs>
      <w:adjustRightInd/>
      <w:spacing w:line="240" w:lineRule="auto"/>
      <w:jc w:val="left"/>
      <w:textAlignment w:val="auto"/>
    </w:pPr>
    <w:rPr>
      <w:lang w:eastAsia="es-ES"/>
    </w:rPr>
  </w:style>
  <w:style w:type="character" w:customStyle="1" w:styleId="PiedepginaCar">
    <w:name w:val="Pie de página Car"/>
    <w:basedOn w:val="Fuentedeprrafopredeter"/>
    <w:link w:val="Piedepgina"/>
    <w:uiPriority w:val="99"/>
    <w:rsid w:val="005C23FB"/>
    <w:rPr>
      <w:rFonts w:ascii="Arial" w:hAnsi="Arial"/>
      <w:sz w:val="24"/>
      <w:lang w:val="es-ES" w:eastAsia="es-ES" w:bidi="ar-SA"/>
    </w:rPr>
  </w:style>
  <w:style w:type="paragraph" w:customStyle="1" w:styleId="Default">
    <w:name w:val="Default"/>
    <w:rsid w:val="00827DE5"/>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rsid w:val="007A37AA"/>
    <w:pPr>
      <w:widowControl/>
      <w:adjustRightInd/>
      <w:spacing w:before="100" w:beforeAutospacing="1" w:after="100" w:afterAutospacing="1" w:line="240" w:lineRule="auto"/>
      <w:jc w:val="left"/>
      <w:textAlignment w:val="auto"/>
    </w:pPr>
    <w:rPr>
      <w:rFonts w:ascii="Times New Roman" w:hAnsi="Times New Roman"/>
      <w:color w:val="333333"/>
      <w:szCs w:val="24"/>
      <w:lang w:eastAsia="es-ES"/>
    </w:rPr>
  </w:style>
  <w:style w:type="character" w:styleId="Hipervnculovisitado">
    <w:name w:val="FollowedHyperlink"/>
    <w:basedOn w:val="Fuentedeprrafopredeter"/>
    <w:rsid w:val="006F5EFE"/>
    <w:rPr>
      <w:color w:val="800080"/>
      <w:u w:val="single"/>
    </w:rPr>
  </w:style>
  <w:style w:type="table" w:styleId="Tablaconcuadrcula">
    <w:name w:val="Table Grid"/>
    <w:basedOn w:val="Tablanormal"/>
    <w:rsid w:val="00663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8B0E5F"/>
    <w:pPr>
      <w:tabs>
        <w:tab w:val="center" w:pos="4252"/>
        <w:tab w:val="right" w:pos="8504"/>
      </w:tabs>
    </w:pPr>
  </w:style>
  <w:style w:type="character" w:styleId="Nmerodepgina">
    <w:name w:val="page number"/>
    <w:basedOn w:val="Fuentedeprrafopredeter"/>
    <w:rsid w:val="008B0E5F"/>
  </w:style>
  <w:style w:type="paragraph" w:styleId="Textodeglobo">
    <w:name w:val="Balloon Text"/>
    <w:basedOn w:val="Normal"/>
    <w:link w:val="TextodegloboCar"/>
    <w:uiPriority w:val="99"/>
    <w:rsid w:val="0062241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2241D"/>
    <w:rPr>
      <w:rFonts w:ascii="Tahoma" w:hAnsi="Tahoma" w:cs="Tahoma"/>
      <w:sz w:val="16"/>
      <w:szCs w:val="16"/>
      <w:lang w:val="es-ES"/>
    </w:rPr>
  </w:style>
  <w:style w:type="paragraph" w:styleId="Prrafodelista">
    <w:name w:val="List Paragraph"/>
    <w:basedOn w:val="Normal"/>
    <w:uiPriority w:val="34"/>
    <w:qFormat/>
    <w:rsid w:val="00045C46"/>
    <w:pPr>
      <w:ind w:left="720"/>
      <w:contextualSpacing/>
    </w:pPr>
  </w:style>
  <w:style w:type="paragraph" w:styleId="Textodecuerpo">
    <w:name w:val="Body Text"/>
    <w:basedOn w:val="Normal"/>
    <w:link w:val="TextoindependienteCar"/>
    <w:rsid w:val="009B3F36"/>
    <w:pPr>
      <w:widowControl/>
      <w:overflowPunct w:val="0"/>
      <w:autoSpaceDE w:val="0"/>
      <w:autoSpaceDN w:val="0"/>
      <w:spacing w:line="240" w:lineRule="auto"/>
    </w:pPr>
    <w:rPr>
      <w:sz w:val="28"/>
      <w:lang w:val="es-ES_tradnl"/>
    </w:rPr>
  </w:style>
  <w:style w:type="character" w:customStyle="1" w:styleId="TextoindependienteCar">
    <w:name w:val="Texto independiente Car"/>
    <w:basedOn w:val="Fuentedeprrafopredeter"/>
    <w:link w:val="Textodecuerpo"/>
    <w:rsid w:val="009B3F36"/>
    <w:rPr>
      <w:rFonts w:ascii="Arial" w:hAnsi="Arial"/>
      <w:sz w:val="28"/>
      <w:lang w:val="es-ES_tradnl"/>
    </w:rPr>
  </w:style>
  <w:style w:type="paragraph" w:styleId="Sangradetdecuerpo">
    <w:name w:val="Body Text Indent"/>
    <w:basedOn w:val="Normal"/>
    <w:link w:val="SangradetextonormalCar"/>
    <w:rsid w:val="00D25DA2"/>
    <w:pPr>
      <w:spacing w:after="120"/>
      <w:ind w:left="283"/>
    </w:pPr>
  </w:style>
  <w:style w:type="character" w:customStyle="1" w:styleId="SangradetextonormalCar">
    <w:name w:val="Sangría de texto normal Car"/>
    <w:basedOn w:val="Fuentedeprrafopredeter"/>
    <w:link w:val="Sangradetdecuerpo"/>
    <w:rsid w:val="00D25DA2"/>
    <w:rPr>
      <w:rFonts w:ascii="Arial" w:hAnsi="Arial"/>
      <w:sz w:val="24"/>
      <w:lang w:val="es-ES"/>
    </w:rPr>
  </w:style>
  <w:style w:type="paragraph" w:customStyle="1" w:styleId="bodytext2">
    <w:name w:val="bodytext2"/>
    <w:basedOn w:val="Normal"/>
    <w:rsid w:val="00D25DA2"/>
    <w:pPr>
      <w:widowControl/>
      <w:overflowPunct w:val="0"/>
      <w:autoSpaceDE w:val="0"/>
      <w:autoSpaceDN w:val="0"/>
      <w:adjustRightInd/>
      <w:spacing w:line="240" w:lineRule="auto"/>
      <w:textAlignment w:val="auto"/>
    </w:pPr>
    <w:rPr>
      <w:rFonts w:cs="Arial"/>
      <w:sz w:val="22"/>
      <w:szCs w:val="22"/>
      <w:lang w:eastAsia="es-ES"/>
    </w:rPr>
  </w:style>
  <w:style w:type="character" w:styleId="Refdecomentario">
    <w:name w:val="annotation reference"/>
    <w:basedOn w:val="Fuentedeprrafopredeter"/>
    <w:rsid w:val="005174F5"/>
    <w:rPr>
      <w:sz w:val="16"/>
      <w:szCs w:val="16"/>
    </w:rPr>
  </w:style>
  <w:style w:type="paragraph" w:styleId="Textocomentario">
    <w:name w:val="annotation text"/>
    <w:basedOn w:val="Normal"/>
    <w:link w:val="TextocomentarioCar"/>
    <w:rsid w:val="005174F5"/>
    <w:pPr>
      <w:spacing w:line="240" w:lineRule="auto"/>
    </w:pPr>
    <w:rPr>
      <w:sz w:val="20"/>
    </w:rPr>
  </w:style>
  <w:style w:type="character" w:customStyle="1" w:styleId="TextocomentarioCar">
    <w:name w:val="Texto comentario Car"/>
    <w:basedOn w:val="Fuentedeprrafopredeter"/>
    <w:link w:val="Textocomentario"/>
    <w:rsid w:val="005174F5"/>
    <w:rPr>
      <w:rFonts w:ascii="Arial" w:hAnsi="Arial"/>
      <w:lang w:val="es-ES"/>
    </w:rPr>
  </w:style>
  <w:style w:type="paragraph" w:styleId="Asuntodelcomentario">
    <w:name w:val="annotation subject"/>
    <w:basedOn w:val="Textocomentario"/>
    <w:next w:val="Textocomentario"/>
    <w:link w:val="AsuntodelcomentarioCar"/>
    <w:rsid w:val="005174F5"/>
    <w:rPr>
      <w:b/>
      <w:bCs/>
    </w:rPr>
  </w:style>
  <w:style w:type="character" w:customStyle="1" w:styleId="AsuntodelcomentarioCar">
    <w:name w:val="Asunto del comentario Car"/>
    <w:basedOn w:val="TextocomentarioCar"/>
    <w:link w:val="Asuntodelcomentario"/>
    <w:rsid w:val="005174F5"/>
    <w:rPr>
      <w:rFonts w:ascii="Arial" w:hAnsi="Arial"/>
      <w:b/>
      <w:bCs/>
      <w:lang w:val="es-ES"/>
    </w:rPr>
  </w:style>
  <w:style w:type="character" w:styleId="Enfasis">
    <w:name w:val="Emphasis"/>
    <w:basedOn w:val="Fuentedeprrafopredeter"/>
    <w:uiPriority w:val="20"/>
    <w:qFormat/>
    <w:rsid w:val="00347CFD"/>
    <w:rPr>
      <w:i/>
      <w:iCs/>
    </w:rPr>
  </w:style>
  <w:style w:type="character" w:customStyle="1" w:styleId="EncabezadoCar">
    <w:name w:val="Encabezado Car"/>
    <w:basedOn w:val="Fuentedeprrafopredeter"/>
    <w:link w:val="Encabezado"/>
    <w:uiPriority w:val="99"/>
    <w:rsid w:val="00842C82"/>
    <w:rPr>
      <w:rFonts w:ascii="Arial" w:hAnsi="Arial"/>
      <w:sz w:val="24"/>
      <w:lang w:val="es-ES"/>
    </w:rPr>
  </w:style>
  <w:style w:type="paragraph" w:customStyle="1" w:styleId="Estilo2">
    <w:name w:val="Estilo2"/>
    <w:basedOn w:val="Normal"/>
    <w:rsid w:val="00842C82"/>
    <w:pPr>
      <w:widowControl/>
      <w:adjustRightInd/>
      <w:spacing w:line="240" w:lineRule="auto"/>
      <w:textAlignment w:val="auto"/>
    </w:pPr>
  </w:style>
  <w:style w:type="character" w:customStyle="1" w:styleId="apple-style-span">
    <w:name w:val="apple-style-span"/>
    <w:basedOn w:val="Fuentedeprrafopredeter"/>
    <w:rsid w:val="000E7B1C"/>
  </w:style>
  <w:style w:type="paragraph" w:customStyle="1" w:styleId="Listavistosa-nfasis11">
    <w:name w:val="Lista vistosa - Énfasis 11"/>
    <w:basedOn w:val="Normal"/>
    <w:uiPriority w:val="34"/>
    <w:qFormat/>
    <w:rsid w:val="000E7B1C"/>
    <w:pPr>
      <w:widowControl/>
      <w:adjustRightInd/>
      <w:spacing w:line="240" w:lineRule="auto"/>
      <w:ind w:left="720"/>
      <w:contextualSpacing/>
      <w:jc w:val="left"/>
      <w:textAlignment w:val="auto"/>
    </w:pPr>
    <w:rPr>
      <w:lang w:val="es-PE"/>
    </w:rPr>
  </w:style>
  <w:style w:type="paragraph" w:styleId="Textonotaalfinal">
    <w:name w:val="endnote text"/>
    <w:basedOn w:val="Normal"/>
    <w:link w:val="TextonotaalfinalCar"/>
    <w:rsid w:val="006A7313"/>
    <w:pPr>
      <w:spacing w:line="240" w:lineRule="auto"/>
    </w:pPr>
    <w:rPr>
      <w:sz w:val="20"/>
    </w:rPr>
  </w:style>
  <w:style w:type="character" w:customStyle="1" w:styleId="TextonotaalfinalCar">
    <w:name w:val="Texto nota al final Car"/>
    <w:basedOn w:val="Fuentedeprrafopredeter"/>
    <w:link w:val="Textonotaalfinal"/>
    <w:rsid w:val="006A7313"/>
    <w:rPr>
      <w:rFonts w:ascii="Arial" w:hAnsi="Arial"/>
      <w:lang w:val="es-ES"/>
    </w:rPr>
  </w:style>
  <w:style w:type="character" w:styleId="Refdenotaalfinal">
    <w:name w:val="endnote reference"/>
    <w:basedOn w:val="Fuentedeprrafopredeter"/>
    <w:rsid w:val="006A7313"/>
    <w:rPr>
      <w:vertAlign w:val="superscript"/>
    </w:rPr>
  </w:style>
  <w:style w:type="character" w:customStyle="1" w:styleId="Ttulo3Car">
    <w:name w:val="Título 3 Car"/>
    <w:basedOn w:val="Fuentedeprrafopredeter"/>
    <w:link w:val="Ttulo3"/>
    <w:uiPriority w:val="9"/>
    <w:semiHidden/>
    <w:rsid w:val="00687EEE"/>
    <w:rPr>
      <w:rFonts w:asciiTheme="majorHAnsi" w:eastAsiaTheme="majorEastAsia" w:hAnsiTheme="majorHAnsi" w:cstheme="majorBidi"/>
      <w:b/>
      <w:bCs/>
      <w:color w:val="4F81BD" w:themeColor="accent1"/>
      <w:sz w:val="24"/>
      <w:lang w:val="es-ES_tradnl" w:eastAsia="es-ES"/>
    </w:rPr>
  </w:style>
  <w:style w:type="character" w:customStyle="1" w:styleId="apple-converted-space">
    <w:name w:val="apple-converted-space"/>
    <w:basedOn w:val="Fuentedeprrafopredeter"/>
    <w:rsid w:val="00687EEE"/>
  </w:style>
  <w:style w:type="character" w:customStyle="1" w:styleId="Ttulo1Car">
    <w:name w:val="Título 1 Car"/>
    <w:basedOn w:val="Fuentedeprrafopredeter"/>
    <w:link w:val="Ttulo1"/>
    <w:rsid w:val="00687EEE"/>
    <w:rPr>
      <w:rFonts w:ascii="Arial" w:hAnsi="Arial" w:cs="Arial"/>
      <w:b/>
      <w:bCs/>
      <w:kern w:val="32"/>
      <w:sz w:val="32"/>
      <w:szCs w:val="32"/>
      <w:lang w:val="es-ES"/>
    </w:rPr>
  </w:style>
  <w:style w:type="character" w:customStyle="1" w:styleId="Ttulo2Car">
    <w:name w:val="Título 2 Car"/>
    <w:basedOn w:val="Fuentedeprrafopredeter"/>
    <w:link w:val="Ttulo2"/>
    <w:rsid w:val="00687EEE"/>
    <w:rPr>
      <w:rFonts w:ascii="Arial" w:hAnsi="Arial" w:cs="Arial"/>
      <w:b/>
      <w:bCs/>
      <w:iCs/>
      <w:sz w:val="24"/>
      <w:szCs w:val="2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093"/>
    <w:pPr>
      <w:widowControl w:val="0"/>
      <w:adjustRightInd w:val="0"/>
      <w:spacing w:line="360" w:lineRule="atLeast"/>
      <w:jc w:val="both"/>
      <w:textAlignment w:val="baseline"/>
    </w:pPr>
    <w:rPr>
      <w:rFonts w:ascii="Arial" w:hAnsi="Arial"/>
      <w:sz w:val="24"/>
      <w:lang w:val="es-ES"/>
    </w:rPr>
  </w:style>
  <w:style w:type="paragraph" w:styleId="Ttulo1">
    <w:name w:val="heading 1"/>
    <w:basedOn w:val="Normal"/>
    <w:next w:val="Normal"/>
    <w:qFormat/>
    <w:rsid w:val="001D6999"/>
    <w:pPr>
      <w:keepNext/>
      <w:spacing w:before="240" w:after="60"/>
      <w:outlineLvl w:val="0"/>
    </w:pPr>
    <w:rPr>
      <w:rFonts w:cs="Arial"/>
      <w:b/>
      <w:bCs/>
      <w:kern w:val="32"/>
      <w:sz w:val="32"/>
      <w:szCs w:val="32"/>
    </w:rPr>
  </w:style>
  <w:style w:type="paragraph" w:styleId="Ttulo2">
    <w:name w:val="heading 2"/>
    <w:basedOn w:val="Normal"/>
    <w:next w:val="Normal"/>
    <w:qFormat/>
    <w:rsid w:val="00A64093"/>
    <w:pPr>
      <w:keepNext/>
      <w:spacing w:before="240" w:after="60"/>
      <w:outlineLvl w:val="1"/>
    </w:pPr>
    <w:rPr>
      <w:rFonts w:cs="Arial"/>
      <w:b/>
      <w:bCs/>
      <w:iCs/>
      <w:szCs w:val="28"/>
    </w:rPr>
  </w:style>
  <w:style w:type="paragraph" w:styleId="Ttulo3">
    <w:name w:val="heading 3"/>
    <w:basedOn w:val="Normal"/>
    <w:next w:val="Normal"/>
    <w:link w:val="Ttulo3Car"/>
    <w:uiPriority w:val="9"/>
    <w:semiHidden/>
    <w:unhideWhenUsed/>
    <w:qFormat/>
    <w:rsid w:val="00687EEE"/>
    <w:pPr>
      <w:keepNext/>
      <w:keepLines/>
      <w:widowControl/>
      <w:adjustRightInd/>
      <w:spacing w:before="200" w:line="240" w:lineRule="auto"/>
      <w:textAlignment w:val="auto"/>
      <w:outlineLvl w:val="2"/>
    </w:pPr>
    <w:rPr>
      <w:rFonts w:asciiTheme="majorHAnsi" w:eastAsiaTheme="majorEastAsia" w:hAnsiTheme="majorHAnsi" w:cstheme="majorBidi"/>
      <w:b/>
      <w:bCs/>
      <w:color w:val="4F81BD" w:themeColor="accent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EB66AC"/>
    <w:pPr>
      <w:ind w:left="720"/>
    </w:pPr>
    <w:rPr>
      <w:rFonts w:eastAsia="Calibri"/>
    </w:rPr>
  </w:style>
  <w:style w:type="paragraph" w:customStyle="1" w:styleId="Derechi">
    <w:name w:val="Derechi"/>
    <w:basedOn w:val="Normal"/>
    <w:rsid w:val="001D6999"/>
    <w:pPr>
      <w:widowControl/>
      <w:adjustRightInd/>
      <w:spacing w:line="240" w:lineRule="auto"/>
      <w:ind w:left="5954"/>
      <w:textAlignment w:val="auto"/>
    </w:pPr>
    <w:rPr>
      <w:snapToGrid w:val="0"/>
      <w:lang w:val="es-ES_tradnl" w:eastAsia="es-ES"/>
    </w:rPr>
  </w:style>
  <w:style w:type="paragraph" w:styleId="Ttulo">
    <w:name w:val="Title"/>
    <w:basedOn w:val="Normal"/>
    <w:qFormat/>
    <w:rsid w:val="001D6999"/>
    <w:pPr>
      <w:widowControl/>
      <w:adjustRightInd/>
      <w:spacing w:line="240" w:lineRule="auto"/>
      <w:ind w:left="142"/>
      <w:jc w:val="center"/>
      <w:textAlignment w:val="auto"/>
    </w:pPr>
    <w:rPr>
      <w:b/>
      <w:sz w:val="21"/>
      <w:lang w:val="es-ES_tradnl" w:eastAsia="es-ES"/>
    </w:rPr>
  </w:style>
  <w:style w:type="paragraph" w:styleId="Textonotapie">
    <w:name w:val="footnote text"/>
    <w:aliases w:val="Texto nota pie Car,fn Car,footnote text Car,Footnotes Car,Footnote ak Car Car,Texto nota pie Car Car,fn Car Car,footnote text Car Car,Footnotes Car Car,Footnote ak Car,Footnote Text Char,fn,footnote text,Footnotes,Footnote ak,ft,fn cafc"/>
    <w:basedOn w:val="Normal"/>
    <w:link w:val="TextonotapieCar1"/>
    <w:uiPriority w:val="99"/>
    <w:rsid w:val="00EF79F7"/>
    <w:rPr>
      <w:sz w:val="20"/>
    </w:rPr>
  </w:style>
  <w:style w:type="character" w:styleId="Refdenotaalpie">
    <w:name w:val="footnote reference"/>
    <w:aliases w:val="Ref,de nota al pie"/>
    <w:basedOn w:val="Fuentedeprrafopredeter"/>
    <w:uiPriority w:val="99"/>
    <w:rsid w:val="00EF79F7"/>
    <w:rPr>
      <w:vertAlign w:val="superscript"/>
    </w:rPr>
  </w:style>
  <w:style w:type="character" w:styleId="CitaHTML">
    <w:name w:val="HTML Cite"/>
    <w:basedOn w:val="Fuentedeprrafopredeter"/>
    <w:rsid w:val="00EF79F7"/>
    <w:rPr>
      <w:i/>
      <w:iCs/>
    </w:rPr>
  </w:style>
  <w:style w:type="character" w:styleId="Hipervnculo">
    <w:name w:val="Hyperlink"/>
    <w:basedOn w:val="Fuentedeprrafopredeter"/>
    <w:uiPriority w:val="99"/>
    <w:rsid w:val="00EF79F7"/>
    <w:rPr>
      <w:color w:val="0000FF"/>
      <w:u w:val="single"/>
    </w:rPr>
  </w:style>
  <w:style w:type="character" w:customStyle="1" w:styleId="TextonotapieCar1">
    <w:name w:val="Texto nota pie Car1"/>
    <w:aliases w:val="Texto nota pie Car Car1,fn Car Car1,footnote text Car Car1,Footnotes Car Car1,Footnote ak Car Car Car,Texto nota pie Car Car Car,fn Car Car Car,footnote text Car Car Car,Footnotes Car Car Car,Footnote ak Car Car1,fn Car1,ft Car"/>
    <w:basedOn w:val="Fuentedeprrafopredeter"/>
    <w:link w:val="Textonotapie"/>
    <w:rsid w:val="0011126F"/>
    <w:rPr>
      <w:rFonts w:ascii="Arial" w:hAnsi="Arial"/>
      <w:lang w:val="es-ES" w:eastAsia="es-PE" w:bidi="ar-SA"/>
    </w:rPr>
  </w:style>
  <w:style w:type="paragraph" w:styleId="Piedepgina">
    <w:name w:val="footer"/>
    <w:basedOn w:val="Normal"/>
    <w:link w:val="PiedepginaCar"/>
    <w:uiPriority w:val="99"/>
    <w:rsid w:val="005C23FB"/>
    <w:pPr>
      <w:widowControl/>
      <w:tabs>
        <w:tab w:val="center" w:pos="4252"/>
        <w:tab w:val="right" w:pos="8504"/>
      </w:tabs>
      <w:adjustRightInd/>
      <w:spacing w:line="240" w:lineRule="auto"/>
      <w:jc w:val="left"/>
      <w:textAlignment w:val="auto"/>
    </w:pPr>
    <w:rPr>
      <w:lang w:eastAsia="es-ES"/>
    </w:rPr>
  </w:style>
  <w:style w:type="character" w:customStyle="1" w:styleId="PiedepginaCar">
    <w:name w:val="Pie de página Car"/>
    <w:basedOn w:val="Fuentedeprrafopredeter"/>
    <w:link w:val="Piedepgina"/>
    <w:uiPriority w:val="99"/>
    <w:rsid w:val="005C23FB"/>
    <w:rPr>
      <w:rFonts w:ascii="Arial" w:hAnsi="Arial"/>
      <w:sz w:val="24"/>
      <w:lang w:val="es-ES" w:eastAsia="es-ES" w:bidi="ar-SA"/>
    </w:rPr>
  </w:style>
  <w:style w:type="paragraph" w:customStyle="1" w:styleId="Default">
    <w:name w:val="Default"/>
    <w:rsid w:val="00827DE5"/>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rsid w:val="007A37AA"/>
    <w:pPr>
      <w:widowControl/>
      <w:adjustRightInd/>
      <w:spacing w:before="100" w:beforeAutospacing="1" w:after="100" w:afterAutospacing="1" w:line="240" w:lineRule="auto"/>
      <w:jc w:val="left"/>
      <w:textAlignment w:val="auto"/>
    </w:pPr>
    <w:rPr>
      <w:rFonts w:ascii="Times New Roman" w:hAnsi="Times New Roman"/>
      <w:color w:val="333333"/>
      <w:szCs w:val="24"/>
      <w:lang w:eastAsia="es-ES"/>
    </w:rPr>
  </w:style>
  <w:style w:type="character" w:styleId="Hipervnculovisitado">
    <w:name w:val="FollowedHyperlink"/>
    <w:basedOn w:val="Fuentedeprrafopredeter"/>
    <w:rsid w:val="006F5EFE"/>
    <w:rPr>
      <w:color w:val="800080"/>
      <w:u w:val="single"/>
    </w:rPr>
  </w:style>
  <w:style w:type="table" w:styleId="Tablaconcuadrcula">
    <w:name w:val="Table Grid"/>
    <w:basedOn w:val="Tablanormal"/>
    <w:rsid w:val="00663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8B0E5F"/>
    <w:pPr>
      <w:tabs>
        <w:tab w:val="center" w:pos="4252"/>
        <w:tab w:val="right" w:pos="8504"/>
      </w:tabs>
    </w:pPr>
  </w:style>
  <w:style w:type="character" w:styleId="Nmerodepgina">
    <w:name w:val="page number"/>
    <w:basedOn w:val="Fuentedeprrafopredeter"/>
    <w:rsid w:val="008B0E5F"/>
  </w:style>
  <w:style w:type="paragraph" w:styleId="Textodeglobo">
    <w:name w:val="Balloon Text"/>
    <w:basedOn w:val="Normal"/>
    <w:link w:val="TextodegloboCar"/>
    <w:uiPriority w:val="99"/>
    <w:rsid w:val="0062241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2241D"/>
    <w:rPr>
      <w:rFonts w:ascii="Tahoma" w:hAnsi="Tahoma" w:cs="Tahoma"/>
      <w:sz w:val="16"/>
      <w:szCs w:val="16"/>
      <w:lang w:val="es-ES"/>
    </w:rPr>
  </w:style>
  <w:style w:type="paragraph" w:styleId="Prrafodelista">
    <w:name w:val="List Paragraph"/>
    <w:basedOn w:val="Normal"/>
    <w:uiPriority w:val="34"/>
    <w:qFormat/>
    <w:rsid w:val="00045C46"/>
    <w:pPr>
      <w:ind w:left="720"/>
      <w:contextualSpacing/>
    </w:pPr>
  </w:style>
  <w:style w:type="paragraph" w:styleId="Textodecuerpo">
    <w:name w:val="Body Text"/>
    <w:basedOn w:val="Normal"/>
    <w:link w:val="TextoindependienteCar"/>
    <w:rsid w:val="009B3F36"/>
    <w:pPr>
      <w:widowControl/>
      <w:overflowPunct w:val="0"/>
      <w:autoSpaceDE w:val="0"/>
      <w:autoSpaceDN w:val="0"/>
      <w:spacing w:line="240" w:lineRule="auto"/>
    </w:pPr>
    <w:rPr>
      <w:sz w:val="28"/>
      <w:lang w:val="es-ES_tradnl"/>
    </w:rPr>
  </w:style>
  <w:style w:type="character" w:customStyle="1" w:styleId="TextoindependienteCar">
    <w:name w:val="Texto independiente Car"/>
    <w:basedOn w:val="Fuentedeprrafopredeter"/>
    <w:link w:val="Textodecuerpo"/>
    <w:rsid w:val="009B3F36"/>
    <w:rPr>
      <w:rFonts w:ascii="Arial" w:hAnsi="Arial"/>
      <w:sz w:val="28"/>
      <w:lang w:val="es-ES_tradnl"/>
    </w:rPr>
  </w:style>
  <w:style w:type="paragraph" w:styleId="Sangradetdecuerpo">
    <w:name w:val="Body Text Indent"/>
    <w:basedOn w:val="Normal"/>
    <w:link w:val="SangradetextonormalCar"/>
    <w:rsid w:val="00D25DA2"/>
    <w:pPr>
      <w:spacing w:after="120"/>
      <w:ind w:left="283"/>
    </w:pPr>
  </w:style>
  <w:style w:type="character" w:customStyle="1" w:styleId="SangradetextonormalCar">
    <w:name w:val="Sangría de texto normal Car"/>
    <w:basedOn w:val="Fuentedeprrafopredeter"/>
    <w:link w:val="Sangradetdecuerpo"/>
    <w:rsid w:val="00D25DA2"/>
    <w:rPr>
      <w:rFonts w:ascii="Arial" w:hAnsi="Arial"/>
      <w:sz w:val="24"/>
      <w:lang w:val="es-ES"/>
    </w:rPr>
  </w:style>
  <w:style w:type="paragraph" w:customStyle="1" w:styleId="bodytext2">
    <w:name w:val="bodytext2"/>
    <w:basedOn w:val="Normal"/>
    <w:rsid w:val="00D25DA2"/>
    <w:pPr>
      <w:widowControl/>
      <w:overflowPunct w:val="0"/>
      <w:autoSpaceDE w:val="0"/>
      <w:autoSpaceDN w:val="0"/>
      <w:adjustRightInd/>
      <w:spacing w:line="240" w:lineRule="auto"/>
      <w:textAlignment w:val="auto"/>
    </w:pPr>
    <w:rPr>
      <w:rFonts w:cs="Arial"/>
      <w:sz w:val="22"/>
      <w:szCs w:val="22"/>
      <w:lang w:eastAsia="es-ES"/>
    </w:rPr>
  </w:style>
  <w:style w:type="character" w:styleId="Refdecomentario">
    <w:name w:val="annotation reference"/>
    <w:basedOn w:val="Fuentedeprrafopredeter"/>
    <w:rsid w:val="005174F5"/>
    <w:rPr>
      <w:sz w:val="16"/>
      <w:szCs w:val="16"/>
    </w:rPr>
  </w:style>
  <w:style w:type="paragraph" w:styleId="Textocomentario">
    <w:name w:val="annotation text"/>
    <w:basedOn w:val="Normal"/>
    <w:link w:val="TextocomentarioCar"/>
    <w:rsid w:val="005174F5"/>
    <w:pPr>
      <w:spacing w:line="240" w:lineRule="auto"/>
    </w:pPr>
    <w:rPr>
      <w:sz w:val="20"/>
    </w:rPr>
  </w:style>
  <w:style w:type="character" w:customStyle="1" w:styleId="TextocomentarioCar">
    <w:name w:val="Texto comentario Car"/>
    <w:basedOn w:val="Fuentedeprrafopredeter"/>
    <w:link w:val="Textocomentario"/>
    <w:rsid w:val="005174F5"/>
    <w:rPr>
      <w:rFonts w:ascii="Arial" w:hAnsi="Arial"/>
      <w:lang w:val="es-ES"/>
    </w:rPr>
  </w:style>
  <w:style w:type="paragraph" w:styleId="Asuntodelcomentario">
    <w:name w:val="annotation subject"/>
    <w:basedOn w:val="Textocomentario"/>
    <w:next w:val="Textocomentario"/>
    <w:link w:val="AsuntodelcomentarioCar"/>
    <w:rsid w:val="005174F5"/>
    <w:rPr>
      <w:b/>
      <w:bCs/>
    </w:rPr>
  </w:style>
  <w:style w:type="character" w:customStyle="1" w:styleId="AsuntodelcomentarioCar">
    <w:name w:val="Asunto del comentario Car"/>
    <w:basedOn w:val="TextocomentarioCar"/>
    <w:link w:val="Asuntodelcomentario"/>
    <w:rsid w:val="005174F5"/>
    <w:rPr>
      <w:rFonts w:ascii="Arial" w:hAnsi="Arial"/>
      <w:b/>
      <w:bCs/>
      <w:lang w:val="es-ES"/>
    </w:rPr>
  </w:style>
  <w:style w:type="character" w:styleId="Enfasis">
    <w:name w:val="Emphasis"/>
    <w:basedOn w:val="Fuentedeprrafopredeter"/>
    <w:uiPriority w:val="20"/>
    <w:qFormat/>
    <w:rsid w:val="00347CFD"/>
    <w:rPr>
      <w:i/>
      <w:iCs/>
    </w:rPr>
  </w:style>
  <w:style w:type="character" w:customStyle="1" w:styleId="EncabezadoCar">
    <w:name w:val="Encabezado Car"/>
    <w:basedOn w:val="Fuentedeprrafopredeter"/>
    <w:link w:val="Encabezado"/>
    <w:uiPriority w:val="99"/>
    <w:rsid w:val="00842C82"/>
    <w:rPr>
      <w:rFonts w:ascii="Arial" w:hAnsi="Arial"/>
      <w:sz w:val="24"/>
      <w:lang w:val="es-ES"/>
    </w:rPr>
  </w:style>
  <w:style w:type="paragraph" w:customStyle="1" w:styleId="Estilo2">
    <w:name w:val="Estilo2"/>
    <w:basedOn w:val="Normal"/>
    <w:rsid w:val="00842C82"/>
    <w:pPr>
      <w:widowControl/>
      <w:adjustRightInd/>
      <w:spacing w:line="240" w:lineRule="auto"/>
      <w:textAlignment w:val="auto"/>
    </w:pPr>
  </w:style>
  <w:style w:type="character" w:customStyle="1" w:styleId="apple-style-span">
    <w:name w:val="apple-style-span"/>
    <w:basedOn w:val="Fuentedeprrafopredeter"/>
    <w:rsid w:val="000E7B1C"/>
  </w:style>
  <w:style w:type="paragraph" w:customStyle="1" w:styleId="Listavistosa-nfasis11">
    <w:name w:val="Lista vistosa - Énfasis 11"/>
    <w:basedOn w:val="Normal"/>
    <w:uiPriority w:val="34"/>
    <w:qFormat/>
    <w:rsid w:val="000E7B1C"/>
    <w:pPr>
      <w:widowControl/>
      <w:adjustRightInd/>
      <w:spacing w:line="240" w:lineRule="auto"/>
      <w:ind w:left="720"/>
      <w:contextualSpacing/>
      <w:jc w:val="left"/>
      <w:textAlignment w:val="auto"/>
    </w:pPr>
    <w:rPr>
      <w:lang w:val="es-PE"/>
    </w:rPr>
  </w:style>
  <w:style w:type="paragraph" w:styleId="Textonotaalfinal">
    <w:name w:val="endnote text"/>
    <w:basedOn w:val="Normal"/>
    <w:link w:val="TextonotaalfinalCar"/>
    <w:rsid w:val="006A7313"/>
    <w:pPr>
      <w:spacing w:line="240" w:lineRule="auto"/>
    </w:pPr>
    <w:rPr>
      <w:sz w:val="20"/>
    </w:rPr>
  </w:style>
  <w:style w:type="character" w:customStyle="1" w:styleId="TextonotaalfinalCar">
    <w:name w:val="Texto nota al final Car"/>
    <w:basedOn w:val="Fuentedeprrafopredeter"/>
    <w:link w:val="Textonotaalfinal"/>
    <w:rsid w:val="006A7313"/>
    <w:rPr>
      <w:rFonts w:ascii="Arial" w:hAnsi="Arial"/>
      <w:lang w:val="es-ES"/>
    </w:rPr>
  </w:style>
  <w:style w:type="character" w:styleId="Refdenotaalfinal">
    <w:name w:val="endnote reference"/>
    <w:basedOn w:val="Fuentedeprrafopredeter"/>
    <w:rsid w:val="006A7313"/>
    <w:rPr>
      <w:vertAlign w:val="superscript"/>
    </w:rPr>
  </w:style>
  <w:style w:type="character" w:customStyle="1" w:styleId="Ttulo3Car">
    <w:name w:val="Título 3 Car"/>
    <w:basedOn w:val="Fuentedeprrafopredeter"/>
    <w:link w:val="Ttulo3"/>
    <w:uiPriority w:val="9"/>
    <w:semiHidden/>
    <w:rsid w:val="00687EEE"/>
    <w:rPr>
      <w:rFonts w:asciiTheme="majorHAnsi" w:eastAsiaTheme="majorEastAsia" w:hAnsiTheme="majorHAnsi" w:cstheme="majorBidi"/>
      <w:b/>
      <w:bCs/>
      <w:color w:val="4F81BD" w:themeColor="accent1"/>
      <w:sz w:val="24"/>
      <w:lang w:val="es-ES_tradnl" w:eastAsia="es-ES"/>
    </w:rPr>
  </w:style>
  <w:style w:type="character" w:customStyle="1" w:styleId="apple-converted-space">
    <w:name w:val="apple-converted-space"/>
    <w:basedOn w:val="Fuentedeprrafopredeter"/>
    <w:rsid w:val="00687EEE"/>
  </w:style>
  <w:style w:type="character" w:customStyle="1" w:styleId="Ttulo1Car">
    <w:name w:val="Título 1 Car"/>
    <w:basedOn w:val="Fuentedeprrafopredeter"/>
    <w:link w:val="Ttulo1"/>
    <w:rsid w:val="00687EEE"/>
    <w:rPr>
      <w:rFonts w:ascii="Arial" w:hAnsi="Arial" w:cs="Arial"/>
      <w:b/>
      <w:bCs/>
      <w:kern w:val="32"/>
      <w:sz w:val="32"/>
      <w:szCs w:val="32"/>
      <w:lang w:val="es-ES"/>
    </w:rPr>
  </w:style>
  <w:style w:type="character" w:customStyle="1" w:styleId="Ttulo2Car">
    <w:name w:val="Título 2 Car"/>
    <w:basedOn w:val="Fuentedeprrafopredeter"/>
    <w:link w:val="Ttulo2"/>
    <w:rsid w:val="00687EEE"/>
    <w:rPr>
      <w:rFonts w:ascii="Arial" w:hAnsi="Arial" w:cs="Arial"/>
      <w:b/>
      <w:bCs/>
      <w:iCs/>
      <w:sz w:val="24"/>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1442">
      <w:bodyDiv w:val="1"/>
      <w:marLeft w:val="0"/>
      <w:marRight w:val="0"/>
      <w:marTop w:val="0"/>
      <w:marBottom w:val="0"/>
      <w:divBdr>
        <w:top w:val="none" w:sz="0" w:space="0" w:color="auto"/>
        <w:left w:val="none" w:sz="0" w:space="0" w:color="auto"/>
        <w:bottom w:val="none" w:sz="0" w:space="0" w:color="auto"/>
        <w:right w:val="none" w:sz="0" w:space="0" w:color="auto"/>
      </w:divBdr>
      <w:divsChild>
        <w:div w:id="27072187">
          <w:marLeft w:val="0"/>
          <w:marRight w:val="0"/>
          <w:marTop w:val="0"/>
          <w:marBottom w:val="0"/>
          <w:divBdr>
            <w:top w:val="none" w:sz="0" w:space="0" w:color="auto"/>
            <w:left w:val="none" w:sz="0" w:space="0" w:color="auto"/>
            <w:bottom w:val="none" w:sz="0" w:space="0" w:color="auto"/>
            <w:right w:val="none" w:sz="0" w:space="0" w:color="auto"/>
          </w:divBdr>
        </w:div>
      </w:divsChild>
    </w:div>
    <w:div w:id="284429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4902">
          <w:marLeft w:val="0"/>
          <w:marRight w:val="0"/>
          <w:marTop w:val="0"/>
          <w:marBottom w:val="0"/>
          <w:divBdr>
            <w:top w:val="none" w:sz="0" w:space="0" w:color="auto"/>
            <w:left w:val="none" w:sz="0" w:space="0" w:color="auto"/>
            <w:bottom w:val="none" w:sz="0" w:space="0" w:color="auto"/>
            <w:right w:val="none" w:sz="0" w:space="0" w:color="auto"/>
          </w:divBdr>
        </w:div>
      </w:divsChild>
    </w:div>
    <w:div w:id="899562541">
      <w:bodyDiv w:val="1"/>
      <w:marLeft w:val="0"/>
      <w:marRight w:val="0"/>
      <w:marTop w:val="0"/>
      <w:marBottom w:val="0"/>
      <w:divBdr>
        <w:top w:val="none" w:sz="0" w:space="0" w:color="auto"/>
        <w:left w:val="none" w:sz="0" w:space="0" w:color="auto"/>
        <w:bottom w:val="none" w:sz="0" w:space="0" w:color="auto"/>
        <w:right w:val="none" w:sz="0" w:space="0" w:color="auto"/>
      </w:divBdr>
    </w:div>
    <w:div w:id="1409377452">
      <w:bodyDiv w:val="1"/>
      <w:marLeft w:val="0"/>
      <w:marRight w:val="0"/>
      <w:marTop w:val="0"/>
      <w:marBottom w:val="0"/>
      <w:divBdr>
        <w:top w:val="none" w:sz="0" w:space="0" w:color="auto"/>
        <w:left w:val="none" w:sz="0" w:space="0" w:color="auto"/>
        <w:bottom w:val="none" w:sz="0" w:space="0" w:color="auto"/>
        <w:right w:val="none" w:sz="0" w:space="0" w:color="auto"/>
      </w:divBdr>
      <w:divsChild>
        <w:div w:id="405348993">
          <w:marLeft w:val="0"/>
          <w:marRight w:val="0"/>
          <w:marTop w:val="0"/>
          <w:marBottom w:val="0"/>
          <w:divBdr>
            <w:top w:val="none" w:sz="0" w:space="0" w:color="auto"/>
            <w:left w:val="none" w:sz="0" w:space="0" w:color="auto"/>
            <w:bottom w:val="none" w:sz="0" w:space="0" w:color="auto"/>
            <w:right w:val="none" w:sz="0" w:space="0" w:color="auto"/>
          </w:divBdr>
        </w:div>
      </w:divsChild>
    </w:div>
    <w:div w:id="1505166184">
      <w:bodyDiv w:val="1"/>
      <w:marLeft w:val="0"/>
      <w:marRight w:val="0"/>
      <w:marTop w:val="0"/>
      <w:marBottom w:val="0"/>
      <w:divBdr>
        <w:top w:val="none" w:sz="0" w:space="0" w:color="auto"/>
        <w:left w:val="none" w:sz="0" w:space="0" w:color="auto"/>
        <w:bottom w:val="none" w:sz="0" w:space="0" w:color="auto"/>
        <w:right w:val="none" w:sz="0" w:space="0" w:color="auto"/>
      </w:divBdr>
    </w:div>
    <w:div w:id="1997804885">
      <w:bodyDiv w:val="1"/>
      <w:marLeft w:val="0"/>
      <w:marRight w:val="0"/>
      <w:marTop w:val="0"/>
      <w:marBottom w:val="0"/>
      <w:divBdr>
        <w:top w:val="none" w:sz="0" w:space="0" w:color="auto"/>
        <w:left w:val="none" w:sz="0" w:space="0" w:color="auto"/>
        <w:bottom w:val="none" w:sz="0" w:space="0" w:color="auto"/>
        <w:right w:val="none" w:sz="0" w:space="0" w:color="auto"/>
      </w:divBdr>
    </w:div>
    <w:div w:id="1998722122">
      <w:bodyDiv w:val="1"/>
      <w:marLeft w:val="0"/>
      <w:marRight w:val="0"/>
      <w:marTop w:val="0"/>
      <w:marBottom w:val="0"/>
      <w:divBdr>
        <w:top w:val="none" w:sz="0" w:space="0" w:color="auto"/>
        <w:left w:val="none" w:sz="0" w:space="0" w:color="auto"/>
        <w:bottom w:val="none" w:sz="0" w:space="0" w:color="auto"/>
        <w:right w:val="none" w:sz="0" w:space="0" w:color="auto"/>
      </w:divBdr>
      <w:divsChild>
        <w:div w:id="88198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31008-72AA-9C44-AB7F-042DCD21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3147</Words>
  <Characters>17313</Characters>
  <Application>Microsoft Macintosh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DICTAMEN Nº 002-2014</vt:lpstr>
    </vt:vector>
  </TitlesOfParts>
  <Company>SGCA</Company>
  <LinksUpToDate>false</LinksUpToDate>
  <CharactersWithSpaces>20420</CharactersWithSpaces>
  <SharedDoc>false</SharedDoc>
  <HLinks>
    <vt:vector size="36" baseType="variant">
      <vt:variant>
        <vt:i4>2228263</vt:i4>
      </vt:variant>
      <vt:variant>
        <vt:i4>15</vt:i4>
      </vt:variant>
      <vt:variant>
        <vt:i4>0</vt:i4>
      </vt:variant>
      <vt:variant>
        <vt:i4>5</vt:i4>
      </vt:variant>
      <vt:variant>
        <vt:lpwstr>http://www.comunidadandina.org/panc/tlc.htm</vt:lpwstr>
      </vt:variant>
      <vt:variant>
        <vt:lpwstr/>
      </vt:variant>
      <vt:variant>
        <vt:i4>7012433</vt:i4>
      </vt:variant>
      <vt:variant>
        <vt:i4>12</vt:i4>
      </vt:variant>
      <vt:variant>
        <vt:i4>0</vt:i4>
      </vt:variant>
      <vt:variant>
        <vt:i4>5</vt:i4>
      </vt:variant>
      <vt:variant>
        <vt:lpwstr>http://www.ustr.gov/sites/default/files/uploads/factsheets/2005/asset_upload_file490_8547.pdf</vt:lpwstr>
      </vt:variant>
      <vt:variant>
        <vt:lpwstr/>
      </vt:variant>
      <vt:variant>
        <vt:i4>2228263</vt:i4>
      </vt:variant>
      <vt:variant>
        <vt:i4>9</vt:i4>
      </vt:variant>
      <vt:variant>
        <vt:i4>0</vt:i4>
      </vt:variant>
      <vt:variant>
        <vt:i4>5</vt:i4>
      </vt:variant>
      <vt:variant>
        <vt:lpwstr>http://www.comunidadandina.org/panc/tlc.htm</vt:lpwstr>
      </vt:variant>
      <vt:variant>
        <vt:lpwstr/>
      </vt:variant>
      <vt:variant>
        <vt:i4>3539008</vt:i4>
      </vt:variant>
      <vt:variant>
        <vt:i4>6</vt:i4>
      </vt:variant>
      <vt:variant>
        <vt:i4>0</vt:i4>
      </vt:variant>
      <vt:variant>
        <vt:i4>5</vt:i4>
      </vt:variant>
      <vt:variant>
        <vt:lpwstr>http://www.tlcperu-eeuu.gob.pe/downloads/documento/02.Lista_Arancelaria-PERU.pdf</vt:lpwstr>
      </vt:variant>
      <vt:variant>
        <vt:lpwstr/>
      </vt:variant>
      <vt:variant>
        <vt:i4>2031703</vt:i4>
      </vt:variant>
      <vt:variant>
        <vt:i4>3</vt:i4>
      </vt:variant>
      <vt:variant>
        <vt:i4>0</vt:i4>
      </vt:variant>
      <vt:variant>
        <vt:i4>5</vt:i4>
      </vt:variant>
      <vt:variant>
        <vt:lpwstr>http://www.ausa.pe/images/uploads/normas/DS  009_2009_MINCETUR.pdf</vt:lpwstr>
      </vt:variant>
      <vt:variant>
        <vt:lpwstr/>
      </vt:variant>
      <vt:variant>
        <vt:i4>3801129</vt:i4>
      </vt:variant>
      <vt:variant>
        <vt:i4>0</vt:i4>
      </vt:variant>
      <vt:variant>
        <vt:i4>0</vt:i4>
      </vt:variant>
      <vt:variant>
        <vt:i4>5</vt:i4>
      </vt:variant>
      <vt:variant>
        <vt:lpwstr>http://intranet.comunidadandina.org/Documentos/DTrabajo/SGdt276.doc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Nº 002-2014</dc:title>
  <dc:subject>PZIFER-COLOMBIA</dc:subject>
  <dc:creator>SGCAN;ASESORIA JURIDICA E 2014</dc:creator>
  <cp:lastModifiedBy>Lorena Herencia</cp:lastModifiedBy>
  <cp:revision>2</cp:revision>
  <cp:lastPrinted>2015-02-16T14:23:00Z</cp:lastPrinted>
  <dcterms:created xsi:type="dcterms:W3CDTF">2015-02-17T13:31:00Z</dcterms:created>
  <dcterms:modified xsi:type="dcterms:W3CDTF">2015-02-17T13:31:00Z</dcterms:modified>
</cp:coreProperties>
</file>